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DFF58">
      <w:pPr>
        <w:spacing w:line="540" w:lineRule="exact"/>
        <w:jc w:val="center"/>
        <w:rPr>
          <w:rFonts w:ascii="方正大标宋简体" w:hAnsi="方正大标宋简体" w:eastAsia="方正大标宋简体"/>
          <w:b/>
          <w:sz w:val="44"/>
          <w:szCs w:val="44"/>
        </w:rPr>
      </w:pPr>
      <w:bookmarkStart w:id="0" w:name="OLE_LINK2"/>
      <w:bookmarkStart w:id="1" w:name="OLE_LINK1"/>
      <w:r>
        <w:rPr>
          <w:rFonts w:hint="eastAsia" w:ascii="方正大标宋简体" w:hAnsi="方正大标宋简体" w:eastAsia="方正大标宋简体"/>
          <w:b/>
          <w:sz w:val="44"/>
          <w:szCs w:val="44"/>
        </w:rPr>
        <w:t>中石化重型起重运输工程有限责任公司</w:t>
      </w:r>
    </w:p>
    <w:p w14:paraId="7E2B3479">
      <w:pPr>
        <w:spacing w:line="540" w:lineRule="exact"/>
        <w:jc w:val="center"/>
        <w:rPr>
          <w:rFonts w:ascii="仿宋_GB2312" w:eastAsia="仿宋_GB2312"/>
          <w:b/>
          <w:sz w:val="32"/>
          <w:szCs w:val="32"/>
        </w:rPr>
      </w:pPr>
      <w:r>
        <w:rPr>
          <w:rFonts w:hint="eastAsia" w:ascii="方正大标宋简体" w:hAnsi="方正大标宋简体" w:eastAsia="方正大标宋简体"/>
          <w:b/>
          <w:sz w:val="44"/>
          <w:szCs w:val="44"/>
        </w:rPr>
        <w:t>202</w:t>
      </w:r>
      <w:r>
        <w:rPr>
          <w:rFonts w:hint="eastAsia" w:ascii="方正大标宋简体" w:hAnsi="方正大标宋简体" w:eastAsia="方正大标宋简体"/>
          <w:b/>
          <w:sz w:val="44"/>
          <w:szCs w:val="44"/>
          <w:lang w:val="en-US" w:eastAsia="zh-CN"/>
        </w:rPr>
        <w:t>7</w:t>
      </w:r>
      <w:r>
        <w:rPr>
          <w:rFonts w:hint="eastAsia" w:ascii="方正大标宋简体" w:hAnsi="方正大标宋简体" w:eastAsia="方正大标宋简体"/>
          <w:b/>
          <w:sz w:val="44"/>
          <w:szCs w:val="44"/>
        </w:rPr>
        <w:t>年度校园招聘简章</w:t>
      </w:r>
      <w:bookmarkEnd w:id="0"/>
      <w:bookmarkEnd w:id="1"/>
    </w:p>
    <w:p w14:paraId="11B65FEA">
      <w:pPr>
        <w:spacing w:line="540" w:lineRule="exact"/>
        <w:jc w:val="center"/>
        <w:rPr>
          <w:rFonts w:ascii="仿宋_GB2312" w:eastAsia="仿宋_GB2312"/>
          <w:b/>
          <w:sz w:val="32"/>
          <w:szCs w:val="32"/>
        </w:rPr>
      </w:pPr>
    </w:p>
    <w:p w14:paraId="22BAB89C">
      <w:pPr>
        <w:spacing w:line="440" w:lineRule="exact"/>
        <w:rPr>
          <w:rFonts w:ascii="黑体" w:hAnsi="黑体" w:eastAsia="黑体"/>
          <w:b/>
          <w:sz w:val="30"/>
          <w:szCs w:val="30"/>
        </w:rPr>
      </w:pPr>
      <w:r>
        <w:rPr>
          <w:rFonts w:hint="eastAsia" w:ascii="黑体" w:hAnsi="黑体" w:eastAsia="黑体"/>
          <w:b/>
          <w:sz w:val="30"/>
          <w:szCs w:val="30"/>
        </w:rPr>
        <w:t>公司简介</w:t>
      </w:r>
    </w:p>
    <w:p w14:paraId="08BFA749">
      <w:pPr>
        <w:spacing w:line="440" w:lineRule="exact"/>
        <w:ind w:firstLine="602" w:firstLineChars="200"/>
        <w:rPr>
          <w:rFonts w:hint="eastAsia" w:ascii="楷体" w:hAnsi="楷体" w:eastAsia="楷体"/>
          <w:b/>
          <w:sz w:val="30"/>
          <w:szCs w:val="30"/>
        </w:rPr>
      </w:pPr>
      <w:r>
        <w:rPr>
          <w:rFonts w:hint="eastAsia" w:ascii="楷体" w:hAnsi="楷体" w:eastAsia="楷体"/>
          <w:b/>
          <w:sz w:val="30"/>
          <w:szCs w:val="30"/>
        </w:rPr>
        <w:t>中石化重型起重运输工程有限责任公司是中国境内唯一具备大型和超大型设备运输+吊装能力的专业承包商，连续九年位居行业第一，是中石化炼化工程（集团）股份有限公司全资子公司，也是中国石化集团从事重型起重运输业务的专业化公司。</w:t>
      </w:r>
    </w:p>
    <w:p w14:paraId="2A48B136">
      <w:pPr>
        <w:spacing w:line="440" w:lineRule="exact"/>
        <w:ind w:firstLine="602" w:firstLineChars="200"/>
        <w:rPr>
          <w:rFonts w:hint="eastAsia" w:ascii="楷体" w:hAnsi="楷体" w:eastAsia="楷体"/>
          <w:b/>
          <w:sz w:val="30"/>
          <w:szCs w:val="30"/>
        </w:rPr>
      </w:pPr>
      <w:r>
        <w:rPr>
          <w:rFonts w:hint="eastAsia" w:ascii="楷体" w:hAnsi="楷体" w:eastAsia="楷体"/>
          <w:b/>
          <w:sz w:val="30"/>
          <w:szCs w:val="30"/>
        </w:rPr>
        <w:t>总部位于北京，下设天津、青岛、南京、宁波、南方、东南、中南、西北、新疆九家境内分公司，境外设中东、中亚、东南亚、非洲区域内十家分（子）公司。配备起重能力在25吨至5000吨的系列化起重装备、总运输能力330轴线的SPMT和SPT轴线运输车等运输机械及全系列吊装工装机具。</w:t>
      </w:r>
    </w:p>
    <w:p w14:paraId="0EC7E703">
      <w:pPr>
        <w:spacing w:line="440" w:lineRule="exact"/>
        <w:ind w:firstLine="602" w:firstLineChars="200"/>
        <w:rPr>
          <w:rFonts w:hint="eastAsia" w:ascii="楷体" w:hAnsi="楷体" w:eastAsia="楷体"/>
          <w:b/>
          <w:sz w:val="30"/>
          <w:szCs w:val="30"/>
        </w:rPr>
      </w:pPr>
      <w:r>
        <w:rPr>
          <w:rFonts w:hint="eastAsia" w:ascii="楷体" w:hAnsi="楷体" w:eastAsia="楷体"/>
          <w:b/>
          <w:sz w:val="30"/>
          <w:szCs w:val="30"/>
        </w:rPr>
        <w:t>公司秉承“创新、合作、共赢、发展”的发展理念及“打造世界领先起重运输工程公司”的发展愿景，可在全球炼油、石油化工、煤化工等能源化工领域，天然气、风电、核电、水电、光伏、绿氢等清洁能源领域，铁路、桥梁、市政等基础设施领域和海洋工程、军工等特种工程领域，为客户提供定制化的吊装、运输工程、项目管理和工程物流专业工程服务和解决方案，实现从“工厂到现场再到就位”的全流程专业工程服务交付。</w:t>
      </w:r>
    </w:p>
    <w:p w14:paraId="272FF751">
      <w:pPr>
        <w:keepNext w:val="0"/>
        <w:keepLines w:val="0"/>
        <w:pageBreakBefore w:val="0"/>
        <w:widowControl w:val="0"/>
        <w:kinsoku/>
        <w:wordWrap/>
        <w:overflowPunct/>
        <w:topLinePunct w:val="0"/>
        <w:autoSpaceDE/>
        <w:autoSpaceDN/>
        <w:bidi w:val="0"/>
        <w:adjustRightInd/>
        <w:snapToGrid/>
        <w:spacing w:before="157" w:beforeLines="50" w:after="156" w:afterLines="50" w:line="440" w:lineRule="exact"/>
        <w:textAlignment w:val="auto"/>
        <w:rPr>
          <w:rFonts w:hint="eastAsia" w:ascii="黑体" w:hAnsi="黑体" w:eastAsia="黑体"/>
          <w:b/>
          <w:sz w:val="30"/>
          <w:szCs w:val="30"/>
        </w:rPr>
      </w:pPr>
      <w:r>
        <w:rPr>
          <w:rFonts w:hint="eastAsia" w:ascii="黑体" w:hAnsi="黑体" w:eastAsia="黑体"/>
          <w:b/>
          <w:sz w:val="30"/>
          <w:szCs w:val="30"/>
        </w:rPr>
        <w:t>招聘岗位</w:t>
      </w:r>
    </w:p>
    <w:tbl>
      <w:tblPr>
        <w:tblStyle w:val="5"/>
        <w:tblW w:w="911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0"/>
        <w:gridCol w:w="940"/>
        <w:gridCol w:w="593"/>
        <w:gridCol w:w="1037"/>
        <w:gridCol w:w="5036"/>
        <w:gridCol w:w="834"/>
      </w:tblGrid>
      <w:tr w14:paraId="3FB4C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02B79">
            <w:pPr>
              <w:keepNext w:val="0"/>
              <w:keepLines w:val="0"/>
              <w:widowControl/>
              <w:suppressLineNumbers w:val="0"/>
              <w:jc w:val="center"/>
              <w:textAlignment w:val="center"/>
              <w:rPr>
                <w:rFonts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序号</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20582">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招聘岗位</w:t>
            </w:r>
          </w:p>
        </w:tc>
        <w:tc>
          <w:tcPr>
            <w:tcW w:w="593" w:type="dxa"/>
            <w:tcBorders>
              <w:top w:val="single" w:color="000000" w:sz="4" w:space="0"/>
              <w:left w:val="nil"/>
              <w:bottom w:val="single" w:color="000000" w:sz="4" w:space="0"/>
              <w:right w:val="single" w:color="000000" w:sz="4" w:space="0"/>
            </w:tcBorders>
            <w:shd w:val="clear" w:color="auto" w:fill="FFFFFF"/>
            <w:vAlign w:val="center"/>
          </w:tcPr>
          <w:p w14:paraId="1085314D">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eastAsia" w:ascii="华文楷体" w:hAnsi="华文楷体" w:eastAsia="华文楷体" w:cs="华文楷体"/>
                <w:b/>
                <w:bCs/>
                <w:i w:val="0"/>
                <w:iCs w:val="0"/>
                <w:color w:val="000000"/>
                <w:kern w:val="0"/>
                <w:sz w:val="18"/>
                <w:szCs w:val="18"/>
                <w:u w:val="none"/>
                <w:lang w:val="en-US" w:eastAsia="zh-CN" w:bidi="ar"/>
              </w:rPr>
              <w:t>数量</w:t>
            </w:r>
          </w:p>
        </w:tc>
        <w:tc>
          <w:tcPr>
            <w:tcW w:w="1037" w:type="dxa"/>
            <w:tcBorders>
              <w:top w:val="single" w:color="000000" w:sz="4" w:space="0"/>
              <w:left w:val="nil"/>
              <w:bottom w:val="single" w:color="000000" w:sz="4" w:space="0"/>
              <w:right w:val="single" w:color="000000" w:sz="4" w:space="0"/>
            </w:tcBorders>
            <w:shd w:val="clear" w:color="auto" w:fill="FFFFFF"/>
            <w:noWrap/>
            <w:vAlign w:val="center"/>
          </w:tcPr>
          <w:p w14:paraId="37FD3B52">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学历要求</w:t>
            </w:r>
          </w:p>
        </w:tc>
        <w:tc>
          <w:tcPr>
            <w:tcW w:w="5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E0695">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专业</w:t>
            </w:r>
          </w:p>
        </w:tc>
        <w:tc>
          <w:tcPr>
            <w:tcW w:w="8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694D4">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备注</w:t>
            </w:r>
          </w:p>
        </w:tc>
      </w:tr>
      <w:tr w14:paraId="13C57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61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7515C">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合计</w:t>
            </w:r>
          </w:p>
        </w:tc>
        <w:tc>
          <w:tcPr>
            <w:tcW w:w="593" w:type="dxa"/>
            <w:tcBorders>
              <w:top w:val="single" w:color="000000" w:sz="4" w:space="0"/>
              <w:left w:val="nil"/>
              <w:bottom w:val="single" w:color="000000" w:sz="4" w:space="0"/>
              <w:right w:val="single" w:color="000000" w:sz="4" w:space="0"/>
            </w:tcBorders>
            <w:shd w:val="clear" w:color="auto" w:fill="FFFFFF"/>
            <w:noWrap/>
            <w:vAlign w:val="center"/>
          </w:tcPr>
          <w:p w14:paraId="0DA1A112">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54</w:t>
            </w:r>
          </w:p>
        </w:tc>
        <w:tc>
          <w:tcPr>
            <w:tcW w:w="1037" w:type="dxa"/>
            <w:tcBorders>
              <w:top w:val="single" w:color="000000" w:sz="4" w:space="0"/>
              <w:left w:val="nil"/>
              <w:bottom w:val="single" w:color="000000" w:sz="4" w:space="0"/>
              <w:right w:val="single" w:color="000000" w:sz="4" w:space="0"/>
            </w:tcBorders>
            <w:shd w:val="clear" w:color="auto" w:fill="FFFFFF"/>
            <w:noWrap/>
            <w:vAlign w:val="center"/>
          </w:tcPr>
          <w:p w14:paraId="4C296AD7">
            <w:pPr>
              <w:jc w:val="center"/>
              <w:rPr>
                <w:rFonts w:hint="default" w:ascii="华文楷体" w:hAnsi="华文楷体" w:eastAsia="华文楷体" w:cs="华文楷体"/>
                <w:b/>
                <w:bCs/>
                <w:i w:val="0"/>
                <w:iCs w:val="0"/>
                <w:color w:val="000000"/>
                <w:sz w:val="18"/>
                <w:szCs w:val="18"/>
                <w:u w:val="none"/>
              </w:rPr>
            </w:pPr>
          </w:p>
        </w:tc>
        <w:tc>
          <w:tcPr>
            <w:tcW w:w="5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ED5BE">
            <w:pPr>
              <w:rPr>
                <w:rFonts w:hint="default" w:ascii="华文楷体" w:hAnsi="华文楷体" w:eastAsia="华文楷体" w:cs="华文楷体"/>
                <w:b/>
                <w:bCs/>
                <w:i w:val="0"/>
                <w:iCs w:val="0"/>
                <w:color w:val="000000"/>
                <w:sz w:val="18"/>
                <w:szCs w:val="18"/>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DD869E">
            <w:pPr>
              <w:rPr>
                <w:rFonts w:hint="eastAsia" w:ascii="宋体" w:hAnsi="宋体" w:eastAsia="宋体" w:cs="宋体"/>
                <w:i w:val="0"/>
                <w:iCs w:val="0"/>
                <w:color w:val="000000"/>
                <w:sz w:val="18"/>
                <w:szCs w:val="18"/>
                <w:u w:val="none"/>
              </w:rPr>
            </w:pPr>
          </w:p>
        </w:tc>
      </w:tr>
      <w:tr w14:paraId="3CBC7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4" w:hRule="atLeast"/>
        </w:trPr>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71F16">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1</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DBD32">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工程技术A</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1F53D">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6</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79757">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硕研</w:t>
            </w:r>
          </w:p>
        </w:tc>
        <w:tc>
          <w:tcPr>
            <w:tcW w:w="5036" w:type="dxa"/>
            <w:vMerge w:val="restart"/>
            <w:tcBorders>
              <w:top w:val="single" w:color="000000" w:sz="4" w:space="0"/>
              <w:left w:val="single" w:color="000000" w:sz="4" w:space="0"/>
              <w:right w:val="single" w:color="000000" w:sz="4" w:space="0"/>
            </w:tcBorders>
            <w:shd w:val="clear" w:color="auto" w:fill="auto"/>
            <w:vAlign w:val="top"/>
          </w:tcPr>
          <w:p w14:paraId="24410D9A">
            <w:pPr>
              <w:keepNext w:val="0"/>
              <w:keepLines w:val="0"/>
              <w:widowControl/>
              <w:suppressLineNumbers w:val="0"/>
              <w:jc w:val="both"/>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一般力学与力学基础、固体力学、流体力学、工程力学、理论与应用力学、力学、机械制造及其自动化、机械电子工程、机械工程、机械设计及理论、材料成型及控制工程、过程装备与控制工程、车辆工程、汽车服务工程、金属材料工程、能源动力、动力机械及工程、化工过程机械、油气储运工程、森林工程、石油工程、焊接技术与工程、石油与天然气工程、交通运输工程、物流与供应链管理、交通运输、交通工程、物流工程、国际供应链管理、建筑环境与能源应用工程、测控技术与仪器、能源与动力工程、工业工程、道路工程、桥梁工程、结构工程、道路桥梁与渡河工程、救助与打捞工程、航海技术、船舶与海洋工程、海洋工程与技术、海洋地质工程、船舶与海洋结构物设计制造、轮机工程、港口海岸及近海工程、港口航道与海岸工程、海洋油气工程、材料科学与工程、船舶电子电气工程、船舶电子电气技术、风能与动力工程、新能源科学与工程、电气工程及其自动化、自动化、电力系统及其自动化、电气工程、电力系统工程、土木工程（岩土工程方向）、岩土工程、勘察技术与工程、桥梁与隧道工程、水利水电工程、智能制造工程、地质工程、海洋地质工程、水工结构工程</w:t>
            </w:r>
          </w:p>
        </w:tc>
        <w:tc>
          <w:tcPr>
            <w:tcW w:w="834" w:type="dxa"/>
            <w:vMerge w:val="restart"/>
            <w:tcBorders>
              <w:top w:val="single" w:color="000000" w:sz="4" w:space="0"/>
              <w:left w:val="nil"/>
              <w:bottom w:val="single" w:color="000000" w:sz="4" w:space="0"/>
              <w:right w:val="single" w:color="000000" w:sz="4" w:space="0"/>
            </w:tcBorders>
            <w:shd w:val="clear" w:color="auto" w:fill="FFFFFF"/>
            <w:noWrap/>
            <w:vAlign w:val="center"/>
          </w:tcPr>
          <w:p w14:paraId="661688C4">
            <w:pPr>
              <w:jc w:val="center"/>
              <w:rPr>
                <w:rFonts w:hint="default" w:ascii="华文楷体" w:hAnsi="华文楷体" w:eastAsia="华文楷体" w:cs="华文楷体"/>
                <w:b/>
                <w:bCs/>
                <w:i w:val="0"/>
                <w:iCs w:val="0"/>
                <w:color w:val="000000"/>
                <w:sz w:val="18"/>
                <w:szCs w:val="18"/>
                <w:u w:val="none"/>
              </w:rPr>
            </w:pPr>
          </w:p>
        </w:tc>
      </w:tr>
      <w:tr w14:paraId="0C4A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7" w:hRule="atLeast"/>
        </w:trPr>
        <w:tc>
          <w:tcPr>
            <w:tcW w:w="670" w:type="dxa"/>
            <w:vMerge w:val="restart"/>
            <w:tcBorders>
              <w:top w:val="single" w:color="000000" w:sz="4" w:space="0"/>
              <w:left w:val="single" w:color="000000" w:sz="4" w:space="0"/>
              <w:right w:val="single" w:color="000000" w:sz="4" w:space="0"/>
            </w:tcBorders>
            <w:shd w:val="clear" w:color="auto" w:fill="FFFFFF"/>
            <w:noWrap/>
            <w:vAlign w:val="center"/>
          </w:tcPr>
          <w:p w14:paraId="0B0CA600">
            <w:pPr>
              <w:jc w:val="center"/>
              <w:rPr>
                <w:rFonts w:hint="default" w:ascii="华文楷体" w:hAnsi="华文楷体" w:eastAsia="华文楷体" w:cs="华文楷体"/>
                <w:b/>
                <w:bCs/>
                <w:i w:val="0"/>
                <w:iCs w:val="0"/>
                <w:color w:val="000000"/>
                <w:sz w:val="18"/>
                <w:szCs w:val="18"/>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467DF">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工程技术B</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A47A2">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31</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A1D4C">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本科</w:t>
            </w:r>
          </w:p>
        </w:tc>
        <w:tc>
          <w:tcPr>
            <w:tcW w:w="5036" w:type="dxa"/>
            <w:vMerge w:val="continue"/>
            <w:tcBorders>
              <w:left w:val="single" w:color="000000" w:sz="4" w:space="0"/>
              <w:right w:val="single" w:color="000000" w:sz="4" w:space="0"/>
            </w:tcBorders>
            <w:shd w:val="clear" w:color="auto" w:fill="auto"/>
            <w:vAlign w:val="top"/>
          </w:tcPr>
          <w:p w14:paraId="3EAF1F66">
            <w:pPr>
              <w:jc w:val="both"/>
              <w:rPr>
                <w:rFonts w:hint="default" w:ascii="华文楷体" w:hAnsi="华文楷体" w:eastAsia="华文楷体" w:cs="华文楷体"/>
                <w:b/>
                <w:bCs/>
                <w:i w:val="0"/>
                <w:iCs w:val="0"/>
                <w:color w:val="000000"/>
                <w:sz w:val="18"/>
                <w:szCs w:val="18"/>
                <w:u w:val="none"/>
              </w:rPr>
            </w:pPr>
          </w:p>
        </w:tc>
        <w:tc>
          <w:tcPr>
            <w:tcW w:w="834" w:type="dxa"/>
            <w:vMerge w:val="continue"/>
            <w:tcBorders>
              <w:top w:val="single" w:color="000000" w:sz="4" w:space="0"/>
              <w:left w:val="nil"/>
              <w:bottom w:val="single" w:color="000000" w:sz="4" w:space="0"/>
              <w:right w:val="single" w:color="000000" w:sz="4" w:space="0"/>
            </w:tcBorders>
            <w:shd w:val="clear" w:color="auto" w:fill="FFFFFF"/>
            <w:noWrap/>
            <w:vAlign w:val="center"/>
          </w:tcPr>
          <w:p w14:paraId="13A5E8BD">
            <w:pPr>
              <w:jc w:val="center"/>
              <w:rPr>
                <w:rFonts w:hint="default" w:ascii="华文楷体" w:hAnsi="华文楷体" w:eastAsia="华文楷体" w:cs="华文楷体"/>
                <w:b/>
                <w:bCs/>
                <w:i w:val="0"/>
                <w:iCs w:val="0"/>
                <w:color w:val="000000"/>
                <w:sz w:val="18"/>
                <w:szCs w:val="18"/>
                <w:u w:val="none"/>
              </w:rPr>
            </w:pPr>
          </w:p>
        </w:tc>
      </w:tr>
      <w:tr w14:paraId="3BAE8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7"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3F4DD">
            <w:pPr>
              <w:jc w:val="center"/>
              <w:rPr>
                <w:rFonts w:hint="default" w:ascii="华文楷体" w:hAnsi="华文楷体" w:eastAsia="华文楷体" w:cs="华文楷体"/>
                <w:b/>
                <w:bCs/>
                <w:i w:val="0"/>
                <w:iCs w:val="0"/>
                <w:color w:val="000000"/>
                <w:sz w:val="18"/>
                <w:szCs w:val="18"/>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E4ED2">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工程技术C</w:t>
            </w:r>
          </w:p>
        </w:tc>
        <w:tc>
          <w:tcPr>
            <w:tcW w:w="593" w:type="dxa"/>
            <w:tcBorders>
              <w:top w:val="single" w:color="000000" w:sz="4" w:space="0"/>
              <w:left w:val="nil"/>
              <w:bottom w:val="single" w:color="000000" w:sz="4" w:space="0"/>
              <w:right w:val="single" w:color="000000" w:sz="4" w:space="0"/>
            </w:tcBorders>
            <w:shd w:val="clear" w:color="auto" w:fill="FFFFFF"/>
            <w:vAlign w:val="center"/>
          </w:tcPr>
          <w:p w14:paraId="45628BD3">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5</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5EEB7">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本科</w:t>
            </w:r>
          </w:p>
        </w:tc>
        <w:tc>
          <w:tcPr>
            <w:tcW w:w="5036" w:type="dxa"/>
            <w:vMerge w:val="continue"/>
            <w:tcBorders>
              <w:left w:val="single" w:color="000000" w:sz="4" w:space="0"/>
              <w:bottom w:val="nil"/>
              <w:right w:val="single" w:color="000000" w:sz="4" w:space="0"/>
            </w:tcBorders>
            <w:shd w:val="clear" w:color="auto" w:fill="auto"/>
            <w:vAlign w:val="center"/>
          </w:tcPr>
          <w:p w14:paraId="5551A691">
            <w:pPr>
              <w:jc w:val="left"/>
              <w:rPr>
                <w:rFonts w:hint="default" w:ascii="华文楷体" w:hAnsi="华文楷体" w:eastAsia="华文楷体" w:cs="华文楷体"/>
                <w:b/>
                <w:bCs/>
                <w:i w:val="0"/>
                <w:iCs w:val="0"/>
                <w:color w:val="000000"/>
                <w:sz w:val="18"/>
                <w:szCs w:val="18"/>
                <w:u w:val="none"/>
              </w:rPr>
            </w:pPr>
          </w:p>
        </w:tc>
        <w:tc>
          <w:tcPr>
            <w:tcW w:w="834" w:type="dxa"/>
            <w:tcBorders>
              <w:top w:val="nil"/>
              <w:left w:val="nil"/>
              <w:bottom w:val="single" w:color="000000" w:sz="4" w:space="0"/>
              <w:right w:val="single" w:color="000000" w:sz="4" w:space="0"/>
            </w:tcBorders>
            <w:shd w:val="clear" w:color="auto" w:fill="FFFFFF"/>
            <w:noWrap/>
            <w:vAlign w:val="center"/>
          </w:tcPr>
          <w:p w14:paraId="6E5F9CC3">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三地生</w:t>
            </w:r>
          </w:p>
        </w:tc>
      </w:tr>
      <w:tr w14:paraId="767DD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5DF9A">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2</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214AB">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安全管理</w:t>
            </w:r>
          </w:p>
        </w:tc>
        <w:tc>
          <w:tcPr>
            <w:tcW w:w="593" w:type="dxa"/>
            <w:tcBorders>
              <w:top w:val="single" w:color="000000" w:sz="4" w:space="0"/>
              <w:left w:val="nil"/>
              <w:bottom w:val="single" w:color="000000" w:sz="4" w:space="0"/>
              <w:right w:val="single" w:color="000000" w:sz="4" w:space="0"/>
            </w:tcBorders>
            <w:shd w:val="clear" w:color="auto" w:fill="FFFFFF"/>
            <w:vAlign w:val="center"/>
          </w:tcPr>
          <w:p w14:paraId="6A128911">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2</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54872">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本科</w:t>
            </w:r>
          </w:p>
        </w:tc>
        <w:tc>
          <w:tcPr>
            <w:tcW w:w="5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D8ECA">
            <w:pPr>
              <w:keepNext w:val="0"/>
              <w:keepLines w:val="0"/>
              <w:widowControl/>
              <w:suppressLineNumbers w:val="0"/>
              <w:jc w:val="left"/>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安全工程、环境科学与工程、环境工程、环境科学</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EAA5E6">
            <w:pPr>
              <w:rPr>
                <w:rFonts w:hint="eastAsia" w:ascii="宋体" w:hAnsi="宋体" w:eastAsia="宋体" w:cs="宋体"/>
                <w:i w:val="0"/>
                <w:iCs w:val="0"/>
                <w:color w:val="000000"/>
                <w:sz w:val="18"/>
                <w:szCs w:val="18"/>
                <w:u w:val="none"/>
              </w:rPr>
            </w:pPr>
          </w:p>
        </w:tc>
      </w:tr>
      <w:tr w14:paraId="48A08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2" w:hRule="atLeast"/>
        </w:trPr>
        <w:tc>
          <w:tcPr>
            <w:tcW w:w="670" w:type="dxa"/>
            <w:tcBorders>
              <w:top w:val="single" w:color="000000" w:sz="4" w:space="0"/>
              <w:left w:val="single" w:color="000000" w:sz="4" w:space="0"/>
              <w:bottom w:val="nil"/>
              <w:right w:val="single" w:color="000000" w:sz="4" w:space="0"/>
            </w:tcBorders>
            <w:shd w:val="clear" w:color="auto" w:fill="FFFFFF"/>
            <w:noWrap/>
            <w:vAlign w:val="center"/>
          </w:tcPr>
          <w:p w14:paraId="1F7D0AB8">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3</w:t>
            </w:r>
          </w:p>
        </w:tc>
        <w:tc>
          <w:tcPr>
            <w:tcW w:w="940" w:type="dxa"/>
            <w:tcBorders>
              <w:top w:val="single" w:color="000000" w:sz="4" w:space="0"/>
              <w:left w:val="single" w:color="000000" w:sz="4" w:space="0"/>
              <w:bottom w:val="nil"/>
              <w:right w:val="nil"/>
            </w:tcBorders>
            <w:shd w:val="clear" w:color="auto" w:fill="FFFFFF"/>
            <w:noWrap/>
            <w:vAlign w:val="center"/>
          </w:tcPr>
          <w:p w14:paraId="39E686E7">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经济管理</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3A65D">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1</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D5B30">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本科</w:t>
            </w:r>
          </w:p>
        </w:tc>
        <w:tc>
          <w:tcPr>
            <w:tcW w:w="5036" w:type="dxa"/>
            <w:tcBorders>
              <w:top w:val="single" w:color="000000" w:sz="4" w:space="0"/>
              <w:left w:val="single" w:color="000000" w:sz="4" w:space="0"/>
              <w:bottom w:val="nil"/>
              <w:right w:val="single" w:color="000000" w:sz="4" w:space="0"/>
            </w:tcBorders>
            <w:shd w:val="clear" w:color="auto" w:fill="auto"/>
            <w:vAlign w:val="center"/>
          </w:tcPr>
          <w:p w14:paraId="220108FD">
            <w:pPr>
              <w:keepNext w:val="0"/>
              <w:keepLines w:val="0"/>
              <w:widowControl/>
              <w:suppressLineNumbers w:val="0"/>
              <w:jc w:val="left"/>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会计学、财务管理、财税管理、金融学、经济学、审计学、管理学、工程管理、工程造价、统计学、市场营销、工商管理、大数据</w:t>
            </w:r>
          </w:p>
        </w:tc>
        <w:tc>
          <w:tcPr>
            <w:tcW w:w="834" w:type="dxa"/>
            <w:tcBorders>
              <w:top w:val="nil"/>
              <w:left w:val="single" w:color="000000" w:sz="4" w:space="0"/>
              <w:bottom w:val="nil"/>
              <w:right w:val="single" w:color="000000" w:sz="4" w:space="0"/>
            </w:tcBorders>
            <w:shd w:val="clear" w:color="auto" w:fill="FFFFFF"/>
            <w:vAlign w:val="center"/>
          </w:tcPr>
          <w:p w14:paraId="7DE9A4CC">
            <w:pPr>
              <w:jc w:val="center"/>
              <w:rPr>
                <w:rFonts w:hint="default" w:ascii="华文楷体" w:hAnsi="华文楷体" w:eastAsia="华文楷体" w:cs="华文楷体"/>
                <w:b/>
                <w:bCs/>
                <w:i w:val="0"/>
                <w:iCs w:val="0"/>
                <w:color w:val="000000"/>
                <w:sz w:val="18"/>
                <w:szCs w:val="18"/>
                <w:u w:val="none"/>
              </w:rPr>
            </w:pPr>
          </w:p>
        </w:tc>
      </w:tr>
      <w:tr w14:paraId="443D0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9D576">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4</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1A185">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信息技术</w:t>
            </w:r>
          </w:p>
        </w:tc>
        <w:tc>
          <w:tcPr>
            <w:tcW w:w="593" w:type="dxa"/>
            <w:tcBorders>
              <w:top w:val="single" w:color="000000" w:sz="4" w:space="0"/>
              <w:left w:val="nil"/>
              <w:bottom w:val="single" w:color="000000" w:sz="4" w:space="0"/>
              <w:right w:val="single" w:color="000000" w:sz="4" w:space="0"/>
            </w:tcBorders>
            <w:shd w:val="clear" w:color="auto" w:fill="FFFFFF"/>
            <w:vAlign w:val="center"/>
          </w:tcPr>
          <w:p w14:paraId="4C4B3660">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1</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9E65A">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本科</w:t>
            </w:r>
          </w:p>
        </w:tc>
        <w:tc>
          <w:tcPr>
            <w:tcW w:w="5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94F7">
            <w:pPr>
              <w:keepNext w:val="0"/>
              <w:keepLines w:val="0"/>
              <w:widowControl/>
              <w:suppressLineNumbers w:val="0"/>
              <w:jc w:val="left"/>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计算机科学与技术、数据科学与大数据技术、物联网工程、智能科学与技术、信息学与计算技术</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EC4CFB">
            <w:pPr>
              <w:rPr>
                <w:rFonts w:hint="eastAsia" w:ascii="宋体" w:hAnsi="宋体" w:eastAsia="宋体" w:cs="宋体"/>
                <w:i w:val="0"/>
                <w:iCs w:val="0"/>
                <w:color w:val="000000"/>
                <w:sz w:val="18"/>
                <w:szCs w:val="18"/>
                <w:u w:val="none"/>
              </w:rPr>
            </w:pPr>
          </w:p>
        </w:tc>
      </w:tr>
      <w:tr w14:paraId="2DBF1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trPr>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2C5E6">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5</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D838B">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通用管理</w:t>
            </w:r>
          </w:p>
        </w:tc>
        <w:tc>
          <w:tcPr>
            <w:tcW w:w="593" w:type="dxa"/>
            <w:tcBorders>
              <w:top w:val="single" w:color="000000" w:sz="4" w:space="0"/>
              <w:left w:val="nil"/>
              <w:bottom w:val="single" w:color="000000" w:sz="4" w:space="0"/>
              <w:right w:val="single" w:color="000000" w:sz="4" w:space="0"/>
            </w:tcBorders>
            <w:shd w:val="clear" w:color="auto" w:fill="FFFFFF"/>
            <w:vAlign w:val="center"/>
          </w:tcPr>
          <w:p w14:paraId="0CD9647E">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1</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1AE28">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硕研</w:t>
            </w:r>
          </w:p>
        </w:tc>
        <w:tc>
          <w:tcPr>
            <w:tcW w:w="5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B92B5">
            <w:pPr>
              <w:keepNext w:val="0"/>
              <w:keepLines w:val="0"/>
              <w:widowControl/>
              <w:suppressLineNumbers w:val="0"/>
              <w:jc w:val="left"/>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人力资源管理、劳动经济学、管理科学与工程、企业管理、网络与新媒体</w:t>
            </w:r>
          </w:p>
        </w:tc>
        <w:tc>
          <w:tcPr>
            <w:tcW w:w="834" w:type="dxa"/>
            <w:tcBorders>
              <w:top w:val="single" w:color="000000" w:sz="4" w:space="0"/>
              <w:left w:val="single" w:color="000000" w:sz="4" w:space="0"/>
              <w:bottom w:val="nil"/>
              <w:right w:val="single" w:color="000000" w:sz="4" w:space="0"/>
            </w:tcBorders>
            <w:shd w:val="clear" w:color="auto" w:fill="FFFFFF"/>
            <w:vAlign w:val="center"/>
          </w:tcPr>
          <w:p w14:paraId="31015051">
            <w:pPr>
              <w:jc w:val="center"/>
              <w:rPr>
                <w:rFonts w:hint="default" w:ascii="华文楷体" w:hAnsi="华文楷体" w:eastAsia="华文楷体" w:cs="华文楷体"/>
                <w:b/>
                <w:bCs/>
                <w:i w:val="0"/>
                <w:iCs w:val="0"/>
                <w:color w:val="000000"/>
                <w:sz w:val="18"/>
                <w:szCs w:val="18"/>
                <w:u w:val="none"/>
              </w:rPr>
            </w:pPr>
          </w:p>
        </w:tc>
      </w:tr>
      <w:tr w14:paraId="4CF27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8" w:hRule="atLeast"/>
        </w:trPr>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10FAE">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6</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97295">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技能操作</w:t>
            </w:r>
          </w:p>
        </w:tc>
        <w:tc>
          <w:tcPr>
            <w:tcW w:w="593" w:type="dxa"/>
            <w:tcBorders>
              <w:top w:val="single" w:color="000000" w:sz="4" w:space="0"/>
              <w:left w:val="nil"/>
              <w:bottom w:val="single" w:color="000000" w:sz="4" w:space="0"/>
              <w:right w:val="single" w:color="000000" w:sz="4" w:space="0"/>
            </w:tcBorders>
            <w:shd w:val="clear" w:color="auto" w:fill="FFFFFF"/>
            <w:vAlign w:val="center"/>
          </w:tcPr>
          <w:p w14:paraId="6A70E682">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7</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FB579">
            <w:pPr>
              <w:keepNext w:val="0"/>
              <w:keepLines w:val="0"/>
              <w:widowControl/>
              <w:suppressLineNumbers w:val="0"/>
              <w:jc w:val="center"/>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大专（高职）</w:t>
            </w:r>
          </w:p>
        </w:tc>
        <w:tc>
          <w:tcPr>
            <w:tcW w:w="5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3E1B">
            <w:pPr>
              <w:keepNext w:val="0"/>
              <w:keepLines w:val="0"/>
              <w:widowControl/>
              <w:suppressLineNumbers w:val="0"/>
              <w:jc w:val="left"/>
              <w:textAlignment w:val="center"/>
              <w:rPr>
                <w:rFonts w:hint="default" w:ascii="华文楷体" w:hAnsi="华文楷体" w:eastAsia="华文楷体" w:cs="华文楷体"/>
                <w:b/>
                <w:bCs/>
                <w:i w:val="0"/>
                <w:iCs w:val="0"/>
                <w:color w:val="000000"/>
                <w:sz w:val="18"/>
                <w:szCs w:val="18"/>
                <w:u w:val="none"/>
              </w:rPr>
            </w:pPr>
            <w:r>
              <w:rPr>
                <w:rFonts w:hint="default" w:ascii="华文楷体" w:hAnsi="华文楷体" w:eastAsia="华文楷体" w:cs="华文楷体"/>
                <w:b/>
                <w:bCs/>
                <w:i w:val="0"/>
                <w:iCs w:val="0"/>
                <w:color w:val="000000"/>
                <w:kern w:val="0"/>
                <w:sz w:val="18"/>
                <w:szCs w:val="18"/>
                <w:u w:val="none"/>
                <w:lang w:val="en-US" w:eastAsia="zh-CN" w:bidi="ar"/>
              </w:rPr>
              <w:t>机械设计与制造、机械制造与自动化、数控技术、电机与电器、材料成型与控制技术、机电一体化技术、电气自动化技术、生产过程自动化技术、电力系统自动化技术、检测技术及应用、液压与气动技术、机电设备运行与维护、机电设备维修与管理、数控设备应用与维护、汽车制造与装配技术、汽车检测与维修技术、汽车运用技术、交通安全与智能控制、道路桥梁工程技术、工程机械控制技术、工程机械运用与维护、航海技术、轮机工程技术、船舶工程技术、航道工程技术、港口物流设备与自动控制、港口工程技术</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9E4CA9">
            <w:pPr>
              <w:rPr>
                <w:rFonts w:hint="eastAsia" w:ascii="宋体" w:hAnsi="宋体" w:eastAsia="宋体" w:cs="宋体"/>
                <w:i w:val="0"/>
                <w:iCs w:val="0"/>
                <w:color w:val="000000"/>
                <w:sz w:val="18"/>
                <w:szCs w:val="18"/>
                <w:u w:val="none"/>
              </w:rPr>
            </w:pPr>
          </w:p>
        </w:tc>
      </w:tr>
    </w:tbl>
    <w:p w14:paraId="5355B998">
      <w:pPr>
        <w:spacing w:after="156" w:afterLines="50" w:line="440" w:lineRule="exact"/>
        <w:rPr>
          <w:rFonts w:ascii="黑体" w:hAnsi="黑体" w:eastAsia="黑体"/>
          <w:b/>
          <w:sz w:val="30"/>
          <w:szCs w:val="30"/>
        </w:rPr>
      </w:pPr>
    </w:p>
    <w:p w14:paraId="32653BC0">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textAlignment w:val="auto"/>
        <w:rPr>
          <w:rFonts w:ascii="黑体" w:hAnsi="黑体" w:eastAsia="黑体"/>
          <w:b/>
          <w:sz w:val="30"/>
          <w:szCs w:val="30"/>
        </w:rPr>
      </w:pPr>
      <w:r>
        <w:rPr>
          <w:rFonts w:hint="eastAsia" w:ascii="黑体" w:hAnsi="黑体" w:eastAsia="黑体"/>
          <w:b/>
          <w:sz w:val="30"/>
          <w:szCs w:val="30"/>
        </w:rPr>
        <w:t>外语要求</w:t>
      </w:r>
    </w:p>
    <w:p w14:paraId="70B20585">
      <w:pPr>
        <w:spacing w:line="440" w:lineRule="exact"/>
        <w:ind w:firstLine="602" w:firstLineChars="200"/>
        <w:rPr>
          <w:rFonts w:ascii="楷体" w:hAnsi="楷体" w:eastAsia="楷体"/>
          <w:b/>
          <w:sz w:val="30"/>
          <w:szCs w:val="30"/>
        </w:rPr>
      </w:pPr>
      <w:r>
        <w:rPr>
          <w:rFonts w:hint="eastAsia" w:ascii="楷体" w:hAnsi="楷体" w:eastAsia="楷体"/>
          <w:b/>
          <w:sz w:val="30"/>
          <w:szCs w:val="30"/>
        </w:rPr>
        <w:t>硕研：英语六级425分及以上，或其他外语相当于英语六级以上水平。</w:t>
      </w:r>
    </w:p>
    <w:p w14:paraId="788AB82C">
      <w:pPr>
        <w:spacing w:line="440" w:lineRule="exact"/>
        <w:ind w:firstLine="602" w:firstLineChars="200"/>
        <w:rPr>
          <w:rFonts w:ascii="楷体" w:hAnsi="楷体" w:eastAsia="楷体"/>
          <w:b/>
          <w:sz w:val="30"/>
          <w:szCs w:val="30"/>
        </w:rPr>
      </w:pPr>
      <w:r>
        <w:rPr>
          <w:rFonts w:hint="eastAsia" w:ascii="楷体" w:hAnsi="楷体" w:eastAsia="楷体"/>
          <w:b/>
          <w:sz w:val="30"/>
          <w:szCs w:val="30"/>
        </w:rPr>
        <w:t>本科：英语四级425分及以上，或其他外语相当于英语四级以上水平。</w:t>
      </w:r>
    </w:p>
    <w:p w14:paraId="05746445">
      <w:pPr>
        <w:spacing w:line="440" w:lineRule="exact"/>
        <w:ind w:firstLine="602" w:firstLineChars="200"/>
        <w:rPr>
          <w:rFonts w:ascii="楷体" w:hAnsi="楷体" w:eastAsia="楷体"/>
          <w:b/>
          <w:sz w:val="30"/>
          <w:szCs w:val="30"/>
        </w:rPr>
      </w:pPr>
      <w:r>
        <w:rPr>
          <w:rFonts w:hint="eastAsia" w:ascii="楷体" w:hAnsi="楷体" w:eastAsia="楷体"/>
          <w:b/>
          <w:sz w:val="30"/>
          <w:szCs w:val="30"/>
        </w:rPr>
        <w:t>另：新托福不低于80分、雅思不低于6分、GRE不低于305分。</w:t>
      </w:r>
    </w:p>
    <w:p w14:paraId="7CC86FBC">
      <w:pPr>
        <w:spacing w:line="440" w:lineRule="exact"/>
        <w:rPr>
          <w:rFonts w:ascii="黑体" w:hAnsi="黑体" w:eastAsia="黑体"/>
          <w:b/>
          <w:sz w:val="30"/>
          <w:szCs w:val="30"/>
        </w:rPr>
      </w:pPr>
      <w:r>
        <w:rPr>
          <w:rFonts w:hint="eastAsia" w:ascii="黑体" w:hAnsi="黑体" w:eastAsia="黑体"/>
          <w:b/>
          <w:sz w:val="30"/>
          <w:szCs w:val="30"/>
        </w:rPr>
        <w:t>工作地点</w:t>
      </w:r>
    </w:p>
    <w:p w14:paraId="2E97BEAA">
      <w:pPr>
        <w:spacing w:line="440" w:lineRule="exact"/>
        <w:ind w:firstLine="602" w:firstLineChars="200"/>
        <w:rPr>
          <w:rFonts w:ascii="楷体" w:hAnsi="楷体" w:eastAsia="楷体"/>
          <w:b/>
          <w:sz w:val="30"/>
          <w:szCs w:val="30"/>
        </w:rPr>
      </w:pPr>
      <w:r>
        <w:rPr>
          <w:rFonts w:hint="eastAsia" w:ascii="楷体" w:hAnsi="楷体" w:eastAsia="楷体"/>
          <w:b/>
          <w:sz w:val="30"/>
          <w:szCs w:val="30"/>
        </w:rPr>
        <w:t>天津及国内外项目所在地</w:t>
      </w:r>
    </w:p>
    <w:p w14:paraId="4591C390">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textAlignment w:val="auto"/>
        <w:rPr>
          <w:rFonts w:ascii="黑体" w:hAnsi="黑体" w:eastAsia="黑体"/>
          <w:b/>
          <w:sz w:val="30"/>
          <w:szCs w:val="30"/>
        </w:rPr>
      </w:pPr>
      <w:r>
        <w:rPr>
          <w:rFonts w:hint="eastAsia" w:ascii="黑体" w:hAnsi="黑体" w:eastAsia="黑体"/>
          <w:b/>
          <w:sz w:val="30"/>
          <w:szCs w:val="30"/>
        </w:rPr>
        <w:t>薪酬福利</w:t>
      </w:r>
    </w:p>
    <w:p w14:paraId="16586849">
      <w:pPr>
        <w:spacing w:line="440" w:lineRule="exact"/>
        <w:ind w:firstLine="602" w:firstLineChars="200"/>
        <w:rPr>
          <w:rFonts w:hint="default" w:ascii="楷体" w:hAnsi="楷体" w:eastAsia="楷体"/>
          <w:b/>
          <w:sz w:val="30"/>
          <w:szCs w:val="30"/>
          <w:lang w:val="en-US" w:eastAsia="zh-CN"/>
        </w:rPr>
      </w:pPr>
      <w:r>
        <w:rPr>
          <w:rFonts w:hint="eastAsia" w:ascii="楷体" w:hAnsi="楷体" w:eastAsia="楷体"/>
          <w:b/>
          <w:sz w:val="30"/>
          <w:szCs w:val="30"/>
        </w:rPr>
        <w:t>薪酬：基本工资、</w:t>
      </w:r>
      <w:r>
        <w:rPr>
          <w:rFonts w:hint="eastAsia" w:ascii="楷体" w:hAnsi="楷体" w:eastAsia="楷体"/>
          <w:b/>
          <w:sz w:val="30"/>
          <w:szCs w:val="30"/>
          <w:lang w:val="en-US" w:eastAsia="zh-CN"/>
        </w:rPr>
        <w:t>津补贴</w:t>
      </w:r>
      <w:r>
        <w:rPr>
          <w:rFonts w:hint="eastAsia" w:ascii="楷体" w:hAnsi="楷体" w:eastAsia="楷体"/>
          <w:b/>
          <w:sz w:val="30"/>
          <w:szCs w:val="30"/>
        </w:rPr>
        <w:t>、月/年度绩效奖</w:t>
      </w:r>
      <w:r>
        <w:rPr>
          <w:rFonts w:hint="eastAsia" w:ascii="楷体" w:hAnsi="楷体" w:eastAsia="楷体"/>
          <w:b/>
          <w:sz w:val="30"/>
          <w:szCs w:val="30"/>
          <w:lang w:eastAsia="zh-CN"/>
        </w:rPr>
        <w:t>、</w:t>
      </w:r>
      <w:r>
        <w:rPr>
          <w:rFonts w:hint="eastAsia" w:ascii="楷体" w:hAnsi="楷体" w:eastAsia="楷体"/>
          <w:b/>
          <w:sz w:val="30"/>
          <w:szCs w:val="30"/>
          <w:lang w:val="en-US" w:eastAsia="zh-CN"/>
        </w:rPr>
        <w:t>出差补助</w:t>
      </w:r>
    </w:p>
    <w:p w14:paraId="508A0031">
      <w:pPr>
        <w:spacing w:line="440" w:lineRule="exact"/>
        <w:ind w:firstLine="602" w:firstLineChars="200"/>
        <w:rPr>
          <w:rFonts w:ascii="楷体" w:hAnsi="楷体" w:eastAsia="楷体"/>
          <w:b/>
          <w:sz w:val="30"/>
          <w:szCs w:val="30"/>
        </w:rPr>
      </w:pPr>
      <w:r>
        <w:rPr>
          <w:rFonts w:hint="eastAsia" w:ascii="楷体" w:hAnsi="楷体" w:eastAsia="楷体"/>
          <w:b/>
          <w:sz w:val="30"/>
          <w:szCs w:val="30"/>
        </w:rPr>
        <w:t>福利：七险两金、带薪年假、疗养补贴、提供食宿</w:t>
      </w:r>
    </w:p>
    <w:p w14:paraId="38043B7B">
      <w:pPr>
        <w:spacing w:line="440" w:lineRule="exact"/>
        <w:ind w:firstLine="602" w:firstLineChars="200"/>
        <w:rPr>
          <w:rFonts w:ascii="楷体" w:hAnsi="楷体" w:eastAsia="楷体"/>
          <w:b/>
          <w:sz w:val="30"/>
          <w:szCs w:val="30"/>
        </w:rPr>
      </w:pPr>
      <w:r>
        <w:rPr>
          <w:rFonts w:hint="eastAsia" w:ascii="楷体" w:hAnsi="楷体" w:eastAsia="楷体"/>
          <w:b/>
          <w:sz w:val="30"/>
          <w:szCs w:val="30"/>
        </w:rPr>
        <w:t xml:space="preserve"> </w:t>
      </w:r>
      <w:r>
        <w:rPr>
          <w:rFonts w:ascii="楷体" w:hAnsi="楷体" w:eastAsia="楷体"/>
          <w:b/>
          <w:sz w:val="30"/>
          <w:szCs w:val="30"/>
        </w:rPr>
        <w:t xml:space="preserve">     </w:t>
      </w:r>
      <w:r>
        <w:rPr>
          <w:rFonts w:hint="eastAsia" w:ascii="楷体" w:hAnsi="楷体" w:eastAsia="楷体"/>
          <w:b/>
          <w:sz w:val="30"/>
          <w:szCs w:val="30"/>
        </w:rPr>
        <w:t>健康体检、节日慰问</w:t>
      </w:r>
    </w:p>
    <w:p w14:paraId="371EE175">
      <w:pPr>
        <w:spacing w:line="440" w:lineRule="exact"/>
        <w:ind w:firstLine="602" w:firstLineChars="200"/>
        <w:rPr>
          <w:rFonts w:ascii="楷体" w:hAnsi="楷体" w:eastAsia="楷体"/>
          <w:b/>
          <w:sz w:val="30"/>
          <w:szCs w:val="30"/>
        </w:rPr>
      </w:pPr>
    </w:p>
    <w:p w14:paraId="2C0A7627">
      <w:pPr>
        <w:spacing w:line="440" w:lineRule="exact"/>
        <w:ind w:firstLine="602" w:firstLineChars="200"/>
        <w:rPr>
          <w:rFonts w:eastAsia="楷体"/>
          <w:b/>
          <w:sz w:val="30"/>
          <w:szCs w:val="30"/>
        </w:rPr>
      </w:pPr>
      <w:r>
        <w:rPr>
          <w:rFonts w:hint="eastAsia" w:ascii="楷体" w:hAnsi="楷体" w:eastAsia="楷体"/>
          <w:b/>
          <w:sz w:val="30"/>
          <w:szCs w:val="30"/>
        </w:rPr>
        <w:t>热烈欢迎广大优秀毕业生加入。请登录中国石化招聘网</w:t>
      </w:r>
      <w:r>
        <w:fldChar w:fldCharType="begin"/>
      </w:r>
      <w:r>
        <w:instrText xml:space="preserve"> HYPERLINK "http://job.sinopec.com（唯一通道）投递简历，投递时间2025年9月-11月15" </w:instrText>
      </w:r>
      <w:r>
        <w:fldChar w:fldCharType="separate"/>
      </w:r>
      <w:r>
        <w:rPr>
          <w:rStyle w:val="9"/>
          <w:rFonts w:hint="eastAsia" w:ascii="楷体" w:hAnsi="楷体" w:eastAsia="楷体"/>
          <w:b/>
          <w:sz w:val="30"/>
          <w:szCs w:val="30"/>
        </w:rPr>
        <w:t>http://job.sinopec.com（唯一通道）投递简历，</w:t>
      </w:r>
      <w:r>
        <w:rPr>
          <w:rStyle w:val="9"/>
          <w:rFonts w:hint="eastAsia" w:ascii="楷体" w:hAnsi="楷体" w:eastAsia="楷体"/>
          <w:b/>
          <w:sz w:val="30"/>
          <w:szCs w:val="30"/>
          <w:lang w:val="en-US" w:eastAsia="zh-CN"/>
        </w:rPr>
        <w:t>报名</w:t>
      </w:r>
      <w:r>
        <w:rPr>
          <w:rStyle w:val="9"/>
          <w:rFonts w:ascii="楷体" w:hAnsi="楷体" w:eastAsia="楷体"/>
          <w:b/>
          <w:sz w:val="30"/>
          <w:szCs w:val="30"/>
        </w:rPr>
        <w:fldChar w:fldCharType="end"/>
      </w:r>
      <w:r>
        <w:rPr>
          <w:rStyle w:val="9"/>
          <w:rFonts w:hint="eastAsia" w:ascii="楷体" w:hAnsi="楷体" w:eastAsia="楷体"/>
          <w:b/>
          <w:sz w:val="30"/>
          <w:szCs w:val="30"/>
          <w:lang w:val="en-US" w:eastAsia="zh-CN"/>
        </w:rPr>
        <w:t>时间截止到2026年10月28日17:00</w:t>
      </w:r>
      <w:r>
        <w:rPr>
          <w:rFonts w:hint="eastAsia" w:ascii="楷体" w:hAnsi="楷体" w:eastAsia="楷体"/>
          <w:b/>
          <w:sz w:val="30"/>
          <w:szCs w:val="30"/>
        </w:rPr>
        <w:t>。</w:t>
      </w:r>
    </w:p>
    <w:p w14:paraId="1882CF7A">
      <w:pPr>
        <w:spacing w:line="440" w:lineRule="exact"/>
        <w:rPr>
          <w:rFonts w:ascii="楷体" w:hAnsi="楷体" w:eastAsia="楷体"/>
          <w:b/>
          <w:sz w:val="30"/>
          <w:szCs w:val="30"/>
        </w:rPr>
      </w:pPr>
    </w:p>
    <w:p w14:paraId="0EB52D1C">
      <w:pPr>
        <w:spacing w:line="440" w:lineRule="exact"/>
        <w:rPr>
          <w:rFonts w:ascii="楷体" w:hAnsi="楷体" w:eastAsia="楷体"/>
          <w:b/>
          <w:sz w:val="30"/>
          <w:szCs w:val="30"/>
        </w:rPr>
      </w:pPr>
      <w:r>
        <w:rPr>
          <w:rFonts w:hint="eastAsia" w:ascii="楷体" w:hAnsi="楷体" w:eastAsia="楷体"/>
          <w:b/>
          <w:sz w:val="30"/>
          <w:szCs w:val="30"/>
        </w:rPr>
        <w:t>联系人：成老师</w:t>
      </w:r>
    </w:p>
    <w:p w14:paraId="57903B5A">
      <w:pPr>
        <w:spacing w:line="440" w:lineRule="exact"/>
        <w:rPr>
          <w:rFonts w:ascii="楷体" w:hAnsi="楷体" w:eastAsia="楷体"/>
          <w:b/>
          <w:sz w:val="30"/>
          <w:szCs w:val="30"/>
        </w:rPr>
      </w:pPr>
      <w:r>
        <w:rPr>
          <w:rFonts w:hint="eastAsia" w:ascii="楷体" w:hAnsi="楷体" w:eastAsia="楷体"/>
          <w:b/>
          <w:sz w:val="30"/>
          <w:szCs w:val="30"/>
        </w:rPr>
        <w:t>电  话</w:t>
      </w:r>
      <w:r>
        <w:rPr>
          <w:rFonts w:ascii="楷体" w:hAnsi="楷体" w:eastAsia="楷体"/>
          <w:b/>
          <w:sz w:val="30"/>
          <w:szCs w:val="30"/>
        </w:rPr>
        <w:t>：</w:t>
      </w:r>
      <w:r>
        <w:rPr>
          <w:rFonts w:hint="eastAsia" w:ascii="楷体" w:hAnsi="楷体" w:eastAsia="楷体"/>
          <w:b/>
          <w:sz w:val="30"/>
          <w:szCs w:val="30"/>
        </w:rPr>
        <w:t>1</w:t>
      </w:r>
      <w:r>
        <w:rPr>
          <w:rFonts w:ascii="楷体" w:hAnsi="楷体" w:eastAsia="楷体"/>
          <w:b/>
          <w:sz w:val="30"/>
          <w:szCs w:val="30"/>
        </w:rPr>
        <w:t>7801607697</w:t>
      </w:r>
    </w:p>
    <w:p w14:paraId="4362F13C">
      <w:pPr>
        <w:spacing w:line="440" w:lineRule="exact"/>
        <w:rPr>
          <w:rFonts w:eastAsia="楷体"/>
          <w:b/>
          <w:sz w:val="30"/>
          <w:szCs w:val="30"/>
        </w:rPr>
      </w:pPr>
      <w:r>
        <w:rPr>
          <w:rFonts w:hint="eastAsia" w:ascii="楷体" w:hAnsi="楷体" w:eastAsia="楷体"/>
          <w:b/>
          <w:sz w:val="30"/>
          <w:szCs w:val="30"/>
        </w:rPr>
        <w:t>邮  箱：chengwenjing</w:t>
      </w:r>
      <w:r>
        <w:rPr>
          <w:rFonts w:ascii="楷体" w:hAnsi="楷体" w:eastAsia="楷体"/>
          <w:b/>
          <w:sz w:val="30"/>
          <w:szCs w:val="30"/>
        </w:rPr>
        <w:t>@sinopec.com</w:t>
      </w:r>
      <w:bookmarkStart w:id="2" w:name="_GoBack"/>
      <w:bookmarkEnd w:id="2"/>
    </w:p>
    <w:sectPr>
      <w:pgSz w:w="11906" w:h="16838"/>
      <w:pgMar w:top="1588" w:right="1474" w:bottom="1588"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KSOF615CD7A2">
    <w:panose1 w:val="020B07030202040202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8B5"/>
    <w:rsid w:val="000178FD"/>
    <w:rsid w:val="00040C8E"/>
    <w:rsid w:val="00052917"/>
    <w:rsid w:val="00062FF6"/>
    <w:rsid w:val="0006722E"/>
    <w:rsid w:val="00076BE4"/>
    <w:rsid w:val="000772C9"/>
    <w:rsid w:val="000A1E1D"/>
    <w:rsid w:val="000C20C6"/>
    <w:rsid w:val="000E1DA6"/>
    <w:rsid w:val="000F1DB3"/>
    <w:rsid w:val="001325C2"/>
    <w:rsid w:val="00133016"/>
    <w:rsid w:val="0016634C"/>
    <w:rsid w:val="00185174"/>
    <w:rsid w:val="0019458B"/>
    <w:rsid w:val="001C545A"/>
    <w:rsid w:val="00201A2B"/>
    <w:rsid w:val="002024C9"/>
    <w:rsid w:val="00211F65"/>
    <w:rsid w:val="002756AD"/>
    <w:rsid w:val="0028172C"/>
    <w:rsid w:val="00282423"/>
    <w:rsid w:val="00291C15"/>
    <w:rsid w:val="002A4767"/>
    <w:rsid w:val="002C79B1"/>
    <w:rsid w:val="002F4568"/>
    <w:rsid w:val="002F7796"/>
    <w:rsid w:val="00315F3F"/>
    <w:rsid w:val="003400B4"/>
    <w:rsid w:val="00345304"/>
    <w:rsid w:val="00345EF0"/>
    <w:rsid w:val="0037741B"/>
    <w:rsid w:val="003C7BCF"/>
    <w:rsid w:val="003D3536"/>
    <w:rsid w:val="003D5853"/>
    <w:rsid w:val="003F2EF3"/>
    <w:rsid w:val="00402AB9"/>
    <w:rsid w:val="00416DDA"/>
    <w:rsid w:val="00420EF9"/>
    <w:rsid w:val="0044086A"/>
    <w:rsid w:val="00456388"/>
    <w:rsid w:val="0048487A"/>
    <w:rsid w:val="00487172"/>
    <w:rsid w:val="004A6440"/>
    <w:rsid w:val="004C3DDF"/>
    <w:rsid w:val="00500AF7"/>
    <w:rsid w:val="00500E88"/>
    <w:rsid w:val="00502140"/>
    <w:rsid w:val="005105CD"/>
    <w:rsid w:val="00524BB7"/>
    <w:rsid w:val="00567287"/>
    <w:rsid w:val="00583439"/>
    <w:rsid w:val="005B7E71"/>
    <w:rsid w:val="005D3B5C"/>
    <w:rsid w:val="005F46FC"/>
    <w:rsid w:val="00623293"/>
    <w:rsid w:val="00656E81"/>
    <w:rsid w:val="006815BC"/>
    <w:rsid w:val="006A29D0"/>
    <w:rsid w:val="00700152"/>
    <w:rsid w:val="00712C4A"/>
    <w:rsid w:val="00732E33"/>
    <w:rsid w:val="007A0E7D"/>
    <w:rsid w:val="007C4F1D"/>
    <w:rsid w:val="00805A5F"/>
    <w:rsid w:val="00812C57"/>
    <w:rsid w:val="00836DDA"/>
    <w:rsid w:val="0085017C"/>
    <w:rsid w:val="00851B04"/>
    <w:rsid w:val="0088201B"/>
    <w:rsid w:val="0091023D"/>
    <w:rsid w:val="00971C7C"/>
    <w:rsid w:val="00975302"/>
    <w:rsid w:val="009D3A17"/>
    <w:rsid w:val="009E5166"/>
    <w:rsid w:val="00A31B15"/>
    <w:rsid w:val="00A679EB"/>
    <w:rsid w:val="00A718AC"/>
    <w:rsid w:val="00AA1FA6"/>
    <w:rsid w:val="00AA5810"/>
    <w:rsid w:val="00B06178"/>
    <w:rsid w:val="00B37AAA"/>
    <w:rsid w:val="00B5540C"/>
    <w:rsid w:val="00BC6D03"/>
    <w:rsid w:val="00C278B5"/>
    <w:rsid w:val="00C63067"/>
    <w:rsid w:val="00C650D8"/>
    <w:rsid w:val="00C745DD"/>
    <w:rsid w:val="00C94425"/>
    <w:rsid w:val="00CA0BC6"/>
    <w:rsid w:val="00CD04D2"/>
    <w:rsid w:val="00CE402B"/>
    <w:rsid w:val="00CE7BA3"/>
    <w:rsid w:val="00CE7DEA"/>
    <w:rsid w:val="00CF4347"/>
    <w:rsid w:val="00D0461C"/>
    <w:rsid w:val="00D25957"/>
    <w:rsid w:val="00D93A9A"/>
    <w:rsid w:val="00DA310A"/>
    <w:rsid w:val="00DD230A"/>
    <w:rsid w:val="00DE53A3"/>
    <w:rsid w:val="00DF2244"/>
    <w:rsid w:val="00E834C1"/>
    <w:rsid w:val="00E87785"/>
    <w:rsid w:val="00E9022F"/>
    <w:rsid w:val="00E95CF3"/>
    <w:rsid w:val="00EB71FC"/>
    <w:rsid w:val="00EF2A9F"/>
    <w:rsid w:val="00F07664"/>
    <w:rsid w:val="00F111E0"/>
    <w:rsid w:val="00F245F1"/>
    <w:rsid w:val="00F27105"/>
    <w:rsid w:val="00F43109"/>
    <w:rsid w:val="00F55049"/>
    <w:rsid w:val="00F56576"/>
    <w:rsid w:val="00F63C67"/>
    <w:rsid w:val="00F6479A"/>
    <w:rsid w:val="00F940F2"/>
    <w:rsid w:val="00FA3C5B"/>
    <w:rsid w:val="00FA5271"/>
    <w:rsid w:val="0BA42482"/>
    <w:rsid w:val="275A0E84"/>
    <w:rsid w:val="3A625465"/>
    <w:rsid w:val="3D577093"/>
    <w:rsid w:val="4F984780"/>
    <w:rsid w:val="65EC4E77"/>
    <w:rsid w:val="706F1D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2"/>
    <w:semiHidden/>
    <w:unhideWhenUsed/>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semiHidden/>
    <w:unhideWhenUsed/>
    <w:qFormat/>
    <w:uiPriority w:val="99"/>
    <w:rPr>
      <w:color w:val="954F72" w:themeColor="followedHyperlink"/>
      <w:u w:val="single"/>
      <w14:textFill>
        <w14:solidFill>
          <w14:schemeClr w14:val="folHlink"/>
        </w14:solidFill>
      </w14:textFill>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character" w:customStyle="1" w:styleId="10">
    <w:name w:val="页眉 字符"/>
    <w:basedOn w:val="7"/>
    <w:link w:val="4"/>
    <w:qFormat/>
    <w:uiPriority w:val="99"/>
    <w:rPr>
      <w:rFonts w:ascii="Times New Roman" w:hAnsi="Times New Roman" w:eastAsia="宋体" w:cs="Times New Roman"/>
      <w:sz w:val="18"/>
      <w:szCs w:val="18"/>
    </w:rPr>
  </w:style>
  <w:style w:type="character" w:customStyle="1" w:styleId="11">
    <w:name w:val="页脚 字符"/>
    <w:basedOn w:val="7"/>
    <w:link w:val="3"/>
    <w:qFormat/>
    <w:uiPriority w:val="99"/>
    <w:rPr>
      <w:rFonts w:ascii="Times New Roman" w:hAnsi="Times New Roman" w:eastAsia="宋体" w:cs="Times New Roman"/>
      <w:sz w:val="18"/>
      <w:szCs w:val="18"/>
    </w:rPr>
  </w:style>
  <w:style w:type="character" w:customStyle="1" w:styleId="12">
    <w:name w:val="批注框文本 字符"/>
    <w:basedOn w:val="7"/>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F1013-DC97-4F4A-B898-7974313896D3}">
  <ds:schemaRefs/>
</ds:datastoreItem>
</file>

<file path=docProps/app.xml><?xml version="1.0" encoding="utf-8"?>
<Properties xmlns="http://schemas.openxmlformats.org/officeDocument/2006/extended-properties" xmlns:vt="http://schemas.openxmlformats.org/officeDocument/2006/docPropsVTypes">
  <Template>Normal</Template>
  <Pages>3</Pages>
  <Words>1641</Words>
  <Characters>1724</Characters>
  <Lines>15</Lines>
  <Paragraphs>4</Paragraphs>
  <TotalTime>242</TotalTime>
  <ScaleCrop>false</ScaleCrop>
  <LinksUpToDate>false</LinksUpToDate>
  <CharactersWithSpaces>1734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2021-09-02T06:15:00Z</dcterms:created>
  <dc:creator>刘 磊</dc:creator>
  <cp:lastModifiedBy>成小婧</cp:lastModifiedBy>
  <cp:lastPrinted>2020-09-10T02:59:00Z</cp:lastPrinted>
  <dcterms:modified xsi:type="dcterms:W3CDTF">2026-09-28T01:46:17Z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eyJoZGlkIjoiOGYzYzQ2YmEwY2IyMjNiMjc1NmJkNmM1Yjc1NDdhNDgiLCJ1c2VySWQiOiIxMDc1NTE4OTY1In0=</vt:lpwstr>
  </property>
  <property fmtid="{D5CDD505-2E9C-101B-9397-08002B2CF9AE}" pid="3" name="KSOProductBuildVer">
    <vt:lpwstr>2052-12.1.0.28505</vt:lpwstr>
  </property>
  <property fmtid="{D5CDD505-2E9C-101B-9397-08002B2CF9AE}" pid="4" name="ICV">
    <vt:lpwstr>7953E571E7D6401D90E8DCD5689AC286_12</vt:lpwstr>
  </property>
</Properties>
</file>