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73B04">
      <w:pPr>
        <w:keepNext w:val="0"/>
        <w:keepLines w:val="0"/>
        <w:pageBreakBefore w:val="0"/>
        <w:widowControl/>
        <w:shd w:val="clear" w:color="auto" w:fill="FFFFFF"/>
        <w:kinsoku/>
        <w:wordWrap/>
        <w:overflowPunct/>
        <w:topLinePunct w:val="0"/>
        <w:autoSpaceDE/>
        <w:autoSpaceDN/>
        <w:bidi w:val="0"/>
        <w:adjustRightInd/>
        <w:snapToGrid/>
        <w:spacing w:before="313" w:beforeLines="100" w:line="360" w:lineRule="auto"/>
        <w:jc w:val="center"/>
        <w:textAlignment w:val="auto"/>
        <w:rPr>
          <w:rFonts w:ascii="微软雅黑" w:hAnsi="微软雅黑" w:eastAsia="微软雅黑" w:cs="宋体"/>
          <w:color w:val="FF0000"/>
          <w:kern w:val="0"/>
          <w:sz w:val="24"/>
          <w:szCs w:val="24"/>
        </w:rPr>
      </w:pPr>
      <w:r>
        <w:rPr>
          <w:rFonts w:hint="eastAsia" w:ascii="微软雅黑" w:hAnsi="微软雅黑" w:eastAsia="微软雅黑" w:cs="宋体"/>
          <w:b w:val="0"/>
          <w:bCs/>
          <w:color w:val="3E3E3E"/>
          <w:kern w:val="0"/>
          <w:sz w:val="24"/>
          <w:szCs w:val="24"/>
        </w:rPr>
        <w:drawing>
          <wp:anchor distT="0" distB="0" distL="114300" distR="114300" simplePos="0" relativeHeight="251659264" behindDoc="0" locked="0" layoutInCell="1" allowOverlap="1">
            <wp:simplePos x="0" y="0"/>
            <wp:positionH relativeFrom="column">
              <wp:posOffset>-996950</wp:posOffset>
            </wp:positionH>
            <wp:positionV relativeFrom="paragraph">
              <wp:posOffset>-782320</wp:posOffset>
            </wp:positionV>
            <wp:extent cx="7249160" cy="1132840"/>
            <wp:effectExtent l="0" t="0" r="5080" b="10160"/>
            <wp:wrapTopAndBottom/>
            <wp:docPr id="2" name="图片 2" descr="pc端：192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c端：1920X300"/>
                    <pic:cNvPicPr>
                      <a:picLocks noChangeAspect="1"/>
                    </pic:cNvPicPr>
                  </pic:nvPicPr>
                  <pic:blipFill>
                    <a:blip r:embed="rId4"/>
                    <a:stretch>
                      <a:fillRect/>
                    </a:stretch>
                  </pic:blipFill>
                  <pic:spPr>
                    <a:xfrm>
                      <a:off x="0" y="0"/>
                      <a:ext cx="7249160" cy="1132840"/>
                    </a:xfrm>
                    <a:prstGeom prst="rect">
                      <a:avLst/>
                    </a:prstGeom>
                  </pic:spPr>
                </pic:pic>
              </a:graphicData>
            </a:graphic>
          </wp:anchor>
        </w:drawing>
      </w:r>
      <w:r>
        <w:rPr>
          <w:rFonts w:hint="eastAsia" w:ascii="微软雅黑" w:hAnsi="微软雅黑" w:eastAsia="微软雅黑" w:cs="宋体"/>
          <w:b/>
          <w:bCs/>
          <w:sz w:val="32"/>
          <w:szCs w:val="30"/>
        </w:rPr>
        <w:t>科大讯飞202</w:t>
      </w:r>
      <w:r>
        <w:rPr>
          <w:rFonts w:hint="eastAsia" w:ascii="微软雅黑" w:hAnsi="微软雅黑" w:eastAsia="微软雅黑" w:cs="宋体"/>
          <w:b/>
          <w:bCs/>
          <w:sz w:val="32"/>
          <w:szCs w:val="30"/>
          <w:lang w:val="en-US" w:eastAsia="zh-CN"/>
        </w:rPr>
        <w:t>7</w:t>
      </w:r>
      <w:r>
        <w:rPr>
          <w:rFonts w:hint="eastAsia" w:ascii="微软雅黑" w:hAnsi="微软雅黑" w:eastAsia="微软雅黑" w:cs="宋体"/>
          <w:b/>
          <w:bCs/>
          <w:sz w:val="32"/>
          <w:szCs w:val="30"/>
        </w:rPr>
        <w:t>届</w:t>
      </w:r>
      <w:r>
        <w:rPr>
          <w:rFonts w:hint="eastAsia" w:ascii="微软雅黑" w:hAnsi="微软雅黑" w:eastAsia="微软雅黑" w:cs="宋体"/>
          <w:b/>
          <w:bCs/>
          <w:sz w:val="32"/>
          <w:szCs w:val="30"/>
          <w:lang w:val="en-US" w:eastAsia="zh-CN"/>
        </w:rPr>
        <w:t>秋季</w:t>
      </w:r>
      <w:r>
        <w:rPr>
          <w:rFonts w:hint="eastAsia" w:ascii="微软雅黑" w:hAnsi="微软雅黑" w:eastAsia="微软雅黑" w:cs="宋体"/>
          <w:b/>
          <w:bCs/>
          <w:sz w:val="32"/>
          <w:szCs w:val="30"/>
        </w:rPr>
        <w:t>校园招聘-招聘简章</w:t>
      </w:r>
    </w:p>
    <w:p w14:paraId="47F29856">
      <w:pPr>
        <w:widowControl/>
        <w:shd w:val="clear" w:color="auto" w:fill="FFFFFF"/>
        <w:spacing w:line="360" w:lineRule="auto"/>
        <w:ind w:left="420" w:hanging="420"/>
        <w:jc w:val="left"/>
        <w:rPr>
          <w:rFonts w:hint="eastAsia" w:ascii="微软雅黑" w:hAnsi="微软雅黑" w:eastAsia="微软雅黑" w:cs="宋体"/>
          <w:b/>
          <w:color w:val="3E3E3E"/>
          <w:kern w:val="0"/>
          <w:sz w:val="24"/>
          <w:szCs w:val="24"/>
        </w:rPr>
      </w:pPr>
      <w:r>
        <w:rPr>
          <w:rFonts w:ascii="微软雅黑" w:hAnsi="微软雅黑" w:eastAsia="微软雅黑" w:cs="宋体"/>
          <w:b/>
          <w:color w:val="3E3E3E"/>
          <w:kern w:val="0"/>
          <w:sz w:val="24"/>
          <w:szCs w:val="24"/>
        </w:rPr>
        <w:t>一、</w:t>
      </w:r>
      <w:r>
        <w:rPr>
          <w:rFonts w:hint="eastAsia" w:ascii="微软雅黑" w:hAnsi="微软雅黑" w:eastAsia="微软雅黑" w:cs="宋体"/>
          <w:b/>
          <w:color w:val="3E3E3E"/>
          <w:kern w:val="0"/>
          <w:sz w:val="24"/>
          <w:szCs w:val="24"/>
        </w:rPr>
        <w:t>关于科大讯飞：</w:t>
      </w:r>
    </w:p>
    <w:p w14:paraId="7417D9BE">
      <w:pPr>
        <w:widowControl/>
        <w:shd w:val="clear" w:color="auto" w:fill="FFFFFF"/>
        <w:spacing w:line="360" w:lineRule="auto"/>
        <w:jc w:val="left"/>
        <w:rPr>
          <w:rFonts w:hint="eastAsia" w:ascii="微软雅黑" w:hAnsi="微软雅黑" w:eastAsia="微软雅黑" w:cs="宋体"/>
          <w:b/>
          <w:color w:val="3E3E3E"/>
          <w:kern w:val="0"/>
          <w:sz w:val="24"/>
          <w:szCs w:val="24"/>
        </w:rPr>
      </w:pPr>
      <w:r>
        <w:rPr>
          <w:rFonts w:hint="eastAsia" w:ascii="微软雅黑" w:hAnsi="微软雅黑" w:eastAsia="微软雅黑" w:cs="宋体"/>
          <w:b w:val="0"/>
          <w:bCs/>
          <w:color w:val="3E3E3E"/>
          <w:kern w:val="0"/>
          <w:sz w:val="24"/>
          <w:szCs w:val="24"/>
        </w:rPr>
        <w:t>我们成立于1999年，是亚太地区领先的智能语音与人工智能上市企业（股票代码：002230）。</w:t>
      </w:r>
      <w:bookmarkStart w:id="0" w:name="_GoBack"/>
      <w:r>
        <w:rPr>
          <w:rFonts w:hint="eastAsia" w:ascii="微软雅黑" w:hAnsi="微软雅黑" w:eastAsia="微软雅黑" w:cs="宋体"/>
          <w:b w:val="0"/>
          <w:bCs/>
          <w:color w:val="3E3E3E"/>
          <w:kern w:val="0"/>
          <w:sz w:val="24"/>
          <w:szCs w:val="24"/>
        </w:rPr>
        <w:t>作为中国人工智能技术自主创新的标杆，我们以“让机器能听会说，能理解会思考，用人工智</w:t>
      </w:r>
      <w:bookmarkEnd w:id="0"/>
      <w:r>
        <w:rPr>
          <w:rFonts w:hint="eastAsia" w:ascii="微软雅黑" w:hAnsi="微软雅黑" w:eastAsia="微软雅黑" w:cs="宋体"/>
          <w:b w:val="0"/>
          <w:bCs/>
          <w:color w:val="3E3E3E"/>
          <w:kern w:val="0"/>
          <w:sz w:val="24"/>
          <w:szCs w:val="24"/>
        </w:rPr>
        <w:t>能建设美好世界”为使命，深耕智能语音、计算机视觉、自然语言处理、认知智能等核心技术，保持国际前沿水平。</w:t>
      </w:r>
      <w:r>
        <w:rPr>
          <w:rFonts w:hint="eastAsia" w:ascii="微软雅黑" w:hAnsi="微软雅黑" w:eastAsia="微软雅黑" w:cs="宋体"/>
          <w:b w:val="0"/>
          <w:bCs/>
          <w:color w:val="3E3E3E"/>
          <w:kern w:val="0"/>
          <w:sz w:val="24"/>
          <w:szCs w:val="24"/>
          <w:lang w:val="en-US" w:eastAsia="zh-CN"/>
        </w:rPr>
        <w:t>2026年，</w:t>
      </w:r>
      <w:r>
        <w:rPr>
          <w:rFonts w:hint="eastAsia" w:ascii="微软雅黑" w:hAnsi="微软雅黑" w:eastAsia="微软雅黑" w:cs="宋体"/>
          <w:b w:val="0"/>
          <w:bCs/>
          <w:color w:val="3E3E3E"/>
          <w:kern w:val="0"/>
          <w:sz w:val="24"/>
          <w:szCs w:val="24"/>
        </w:rPr>
        <w:t>科大讯飞深度参与完成的“‘鹏城云脑’超大规模国产智能算力系统及产业化工程”项目，获得国家科学技术进步奖一等奖</w:t>
      </w:r>
      <w:r>
        <w:rPr>
          <w:rFonts w:hint="eastAsia" w:ascii="微软雅黑" w:hAnsi="微软雅黑" w:eastAsia="微软雅黑" w:cs="宋体"/>
          <w:b w:val="0"/>
          <w:bCs/>
          <w:color w:val="3E3E3E"/>
          <w:kern w:val="0"/>
          <w:sz w:val="24"/>
          <w:szCs w:val="24"/>
          <w:lang w:eastAsia="zh-CN"/>
        </w:rPr>
        <w:t>，</w:t>
      </w:r>
      <w:r>
        <w:rPr>
          <w:rFonts w:hint="eastAsia" w:ascii="微软雅黑" w:hAnsi="微软雅黑" w:eastAsia="微软雅黑" w:cs="宋体"/>
          <w:b w:val="0"/>
          <w:bCs/>
          <w:color w:val="3E3E3E"/>
          <w:kern w:val="0"/>
          <w:sz w:val="24"/>
          <w:szCs w:val="24"/>
        </w:rPr>
        <w:t>这也是科大讯飞第四次获得国家科学技术进步奖。</w:t>
      </w:r>
    </w:p>
    <w:p w14:paraId="4B9C8356">
      <w:pPr>
        <w:widowControl/>
        <w:shd w:val="clear" w:color="auto" w:fill="FFFFFF"/>
        <w:spacing w:line="360" w:lineRule="auto"/>
        <w:jc w:val="left"/>
        <w:rPr>
          <w:rFonts w:hint="eastAsia" w:ascii="微软雅黑" w:hAnsi="微软雅黑" w:eastAsia="微软雅黑" w:cs="宋体"/>
          <w:b/>
          <w:color w:val="3E3E3E"/>
          <w:kern w:val="0"/>
          <w:sz w:val="24"/>
          <w:szCs w:val="24"/>
        </w:rPr>
      </w:pPr>
      <w:r>
        <w:rPr>
          <w:rFonts w:hint="eastAsia" w:ascii="微软雅黑" w:hAnsi="微软雅黑" w:eastAsia="微软雅黑" w:cs="宋体"/>
          <w:b/>
          <w:color w:val="3E3E3E"/>
          <w:kern w:val="0"/>
          <w:sz w:val="24"/>
          <w:szCs w:val="24"/>
        </w:rPr>
        <w:t>依托认知智能全国重点实验室的技术和应用积累，以及成建制的研发团队：</w:t>
      </w:r>
    </w:p>
    <w:p w14:paraId="531ADD62">
      <w:pPr>
        <w:widowControl/>
        <w:shd w:val="clear" w:color="auto" w:fill="FFFFFF"/>
        <w:spacing w:line="360" w:lineRule="auto"/>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- 2023年5月6日，我们正式对外发布基于全国产算力训练的讯飞星火大模型。讯飞星火具备文本生成、语言理解、知识问答、逻辑推理、数学能力、代码能力、多模态能力等七大核心能力。</w:t>
      </w:r>
    </w:p>
    <w:p w14:paraId="55D93309">
      <w:pPr>
        <w:widowControl/>
        <w:shd w:val="clear" w:color="auto" w:fill="FFFFFF"/>
        <w:spacing w:line="360" w:lineRule="auto"/>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- 2023年10月24日，我们与华为联合发布了国内首个全国产算力平台“飞星一号”。</w:t>
      </w:r>
    </w:p>
    <w:p w14:paraId="1F9F9BAA">
      <w:pPr>
        <w:widowControl/>
        <w:shd w:val="clear" w:color="auto" w:fill="FFFFFF"/>
        <w:spacing w:line="360" w:lineRule="auto"/>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- 2024年10月24日，基于全国首个国产万卡算力集群训练的全民开放大模型讯飞星火4.0 Turbo正式发布。</w:t>
      </w:r>
    </w:p>
    <w:p w14:paraId="7A5C1555">
      <w:pPr>
        <w:widowControl/>
        <w:shd w:val="clear" w:color="auto" w:fill="FFFFFF"/>
        <w:spacing w:line="360" w:lineRule="auto"/>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- 2025年1月，业界首个基于全国产算力平台训练的深度推理大模型</w:t>
      </w:r>
      <w:r>
        <w:rPr>
          <w:rFonts w:hint="eastAsia" w:ascii="微软雅黑" w:hAnsi="微软雅黑" w:eastAsia="微软雅黑" w:cs="宋体"/>
          <w:b w:val="0"/>
          <w:bCs/>
          <w:color w:val="3E3E3E"/>
          <w:kern w:val="0"/>
          <w:sz w:val="24"/>
          <w:szCs w:val="24"/>
          <w:lang w:eastAsia="zh-CN"/>
        </w:rPr>
        <w:t>-</w:t>
      </w:r>
      <w:r>
        <w:rPr>
          <w:rFonts w:hint="eastAsia" w:ascii="微软雅黑" w:hAnsi="微软雅黑" w:eastAsia="微软雅黑" w:cs="宋体"/>
          <w:b w:val="0"/>
          <w:bCs/>
          <w:color w:val="3E3E3E"/>
          <w:kern w:val="0"/>
          <w:sz w:val="24"/>
          <w:szCs w:val="24"/>
        </w:rPr>
        <w:t>讯飞星火X1正式发布。</w:t>
      </w:r>
    </w:p>
    <w:p w14:paraId="3C363CF1">
      <w:pPr>
        <w:widowControl/>
        <w:shd w:val="clear" w:color="auto" w:fill="FFFFFF"/>
        <w:spacing w:line="360" w:lineRule="auto"/>
        <w:jc w:val="left"/>
        <w:rPr>
          <w:rFonts w:hint="default" w:ascii="微软雅黑" w:hAnsi="微软雅黑" w:eastAsia="微软雅黑" w:cs="宋体"/>
          <w:b w:val="0"/>
          <w:bCs/>
          <w:color w:val="3E3E3E"/>
          <w:kern w:val="0"/>
          <w:sz w:val="24"/>
          <w:szCs w:val="24"/>
          <w:lang w:val="en-US" w:eastAsia="zh-CN"/>
        </w:rPr>
      </w:pPr>
      <w:r>
        <w:rPr>
          <w:rFonts w:hint="eastAsia" w:ascii="微软雅黑" w:hAnsi="微软雅黑" w:eastAsia="微软雅黑" w:cs="宋体"/>
          <w:b w:val="0"/>
          <w:bCs/>
          <w:color w:val="3E3E3E"/>
          <w:kern w:val="0"/>
          <w:sz w:val="24"/>
          <w:szCs w:val="24"/>
          <w:lang w:val="en-US" w:eastAsia="zh-CN"/>
        </w:rPr>
        <w:t>- 2026年2月，发布讯飞星火X2，通用能力全面升级，整体能力持续对标国际顶尖水平，覆盖全球130个语种，并在数学、推理、语言理解等能力上媲美国际最优模型。</w:t>
      </w:r>
    </w:p>
    <w:p w14:paraId="6E695584">
      <w:pPr>
        <w:widowControl/>
        <w:shd w:val="clear" w:color="auto" w:fill="FFFFFF"/>
        <w:spacing w:line="360" w:lineRule="auto"/>
        <w:jc w:val="left"/>
        <w:rPr>
          <w:rFonts w:hint="eastAsia" w:ascii="微软雅黑" w:hAnsi="微软雅黑" w:eastAsia="微软雅黑" w:cs="宋体"/>
          <w:b/>
          <w:color w:val="3E3E3E"/>
          <w:kern w:val="0"/>
          <w:sz w:val="24"/>
          <w:szCs w:val="24"/>
        </w:rPr>
      </w:pPr>
      <w:r>
        <w:rPr>
          <w:rFonts w:hint="eastAsia" w:ascii="微软雅黑" w:hAnsi="微软雅黑" w:eastAsia="微软雅黑" w:cs="宋体"/>
          <w:b/>
          <w:color w:val="3E3E3E"/>
          <w:kern w:val="0"/>
          <w:sz w:val="24"/>
          <w:szCs w:val="24"/>
        </w:rPr>
        <w:t>基于人工智能核心技术的不断突破与深耕：</w:t>
      </w:r>
    </w:p>
    <w:p w14:paraId="4B95696B">
      <w:pPr>
        <w:widowControl/>
        <w:shd w:val="clear" w:color="auto" w:fill="FFFFFF"/>
        <w:spacing w:line="360" w:lineRule="auto"/>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 在C端，我们的AI学习机、</w:t>
      </w:r>
      <w:r>
        <w:rPr>
          <w:rFonts w:hint="eastAsia" w:ascii="微软雅黑" w:hAnsi="微软雅黑" w:eastAsia="微软雅黑" w:cs="宋体"/>
          <w:b w:val="0"/>
          <w:bCs/>
          <w:color w:val="3E3E3E"/>
          <w:kern w:val="0"/>
          <w:sz w:val="24"/>
          <w:szCs w:val="24"/>
          <w:lang w:val="en-US" w:eastAsia="zh-CN"/>
        </w:rPr>
        <w:t>AI眼镜、</w:t>
      </w:r>
      <w:r>
        <w:rPr>
          <w:rFonts w:hint="eastAsia" w:ascii="微软雅黑" w:hAnsi="微软雅黑" w:eastAsia="微软雅黑" w:cs="宋体"/>
          <w:b w:val="0"/>
          <w:bCs/>
          <w:color w:val="3E3E3E"/>
          <w:kern w:val="0"/>
          <w:sz w:val="24"/>
          <w:szCs w:val="24"/>
        </w:rPr>
        <w:t>智能办公本、翻译机、智能录音笔、AI会议耳机、智能键鼠等硬件产品蝉联品类前列，讯飞听见APP、星火语伴APP、星火飞码iFlyCode、星火科研助手、讯飞晓医等C端软件产品覆盖各类AI应用场景，用户量保持不断增长。</w:t>
      </w:r>
    </w:p>
    <w:p w14:paraId="4F5B6C28">
      <w:pPr>
        <w:widowControl/>
        <w:shd w:val="clear" w:color="auto" w:fill="FFFFFF"/>
        <w:spacing w:line="360" w:lineRule="auto"/>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 在BG端，我们在教育、医疗、金融、汽车、城市、运营商、工业等行业领域持续赋能布局，以人工智能核心技术助力民生与产业发展。在教育领域，因材施教为全国5万余所学校、超过1.3亿师生提供智慧教育产品与解决方案；在医疗领域，</w:t>
      </w:r>
      <w:r>
        <w:rPr>
          <w:rFonts w:hint="eastAsia" w:ascii="微软雅黑" w:hAnsi="微软雅黑" w:eastAsia="微软雅黑" w:cs="宋体"/>
          <w:b w:val="0"/>
          <w:bCs/>
          <w:color w:val="3E3E3E"/>
          <w:kern w:val="0"/>
          <w:sz w:val="24"/>
          <w:szCs w:val="24"/>
          <w:lang w:eastAsia="zh-CN"/>
        </w:rPr>
        <w:t>“</w:t>
      </w:r>
      <w:r>
        <w:rPr>
          <w:rFonts w:hint="eastAsia" w:ascii="微软雅黑" w:hAnsi="微软雅黑" w:eastAsia="微软雅黑" w:cs="宋体"/>
          <w:b w:val="0"/>
          <w:bCs/>
          <w:color w:val="3E3E3E"/>
          <w:kern w:val="0"/>
          <w:sz w:val="24"/>
          <w:szCs w:val="24"/>
        </w:rPr>
        <w:t>智医助理”在全国31个省市实现常态化应用，并于2024年12月30日港股成功上市成为医疗大模型第一股；在企业数智化领域，我们为国央企、金融机构及行业龙头提供智能化升级，截止202</w:t>
      </w:r>
      <w:r>
        <w:rPr>
          <w:rFonts w:hint="eastAsia" w:ascii="微软雅黑" w:hAnsi="微软雅黑" w:eastAsia="微软雅黑" w:cs="宋体"/>
          <w:b w:val="0"/>
          <w:bCs/>
          <w:color w:val="3E3E3E"/>
          <w:kern w:val="0"/>
          <w:sz w:val="24"/>
          <w:szCs w:val="24"/>
          <w:lang w:val="en-US" w:eastAsia="zh-CN"/>
        </w:rPr>
        <w:t>5</w:t>
      </w:r>
      <w:r>
        <w:rPr>
          <w:rFonts w:hint="eastAsia" w:ascii="微软雅黑" w:hAnsi="微软雅黑" w:eastAsia="微软雅黑" w:cs="宋体"/>
          <w:b w:val="0"/>
          <w:bCs/>
          <w:color w:val="3E3E3E"/>
          <w:kern w:val="0"/>
          <w:sz w:val="24"/>
          <w:szCs w:val="24"/>
        </w:rPr>
        <w:t>年12月联合发布300+行业大模型场景... ...</w:t>
      </w:r>
    </w:p>
    <w:p w14:paraId="50970A12">
      <w:pPr>
        <w:widowControl/>
        <w:shd w:val="clear" w:color="auto" w:fill="FFFFFF"/>
        <w:spacing w:line="360" w:lineRule="auto"/>
        <w:jc w:val="left"/>
        <w:rPr>
          <w:rFonts w:ascii="微软雅黑" w:hAnsi="微软雅黑" w:eastAsia="微软雅黑" w:cs="宋体"/>
          <w:b/>
          <w:bCs w:val="0"/>
          <w:color w:val="3E3E3E"/>
          <w:kern w:val="0"/>
          <w:sz w:val="24"/>
          <w:szCs w:val="24"/>
        </w:rPr>
      </w:pPr>
      <w:r>
        <w:rPr>
          <w:rFonts w:hint="eastAsia" w:ascii="微软雅黑" w:hAnsi="微软雅黑" w:eastAsia="微软雅黑" w:cs="宋体"/>
          <w:b/>
          <w:bCs w:val="0"/>
          <w:color w:val="3E3E3E"/>
          <w:kern w:val="0"/>
          <w:sz w:val="24"/>
          <w:szCs w:val="24"/>
        </w:rPr>
        <w:t>二、招聘对象</w:t>
      </w:r>
    </w:p>
    <w:p w14:paraId="78FA5214">
      <w:pPr>
        <w:widowControl/>
        <w:shd w:val="clear" w:color="auto" w:fill="FFFFFF"/>
        <w:spacing w:line="360" w:lineRule="auto"/>
        <w:ind w:left="420" w:hanging="420"/>
        <w:jc w:val="left"/>
        <w:rPr>
          <w:rFonts w:hint="eastAsia" w:ascii="微软雅黑" w:hAnsi="微软雅黑" w:eastAsia="微软雅黑" w:cs="宋体"/>
          <w:b w:val="0"/>
          <w:bCs/>
          <w:color w:val="3E3E3E"/>
          <w:kern w:val="0"/>
          <w:sz w:val="24"/>
          <w:szCs w:val="24"/>
        </w:rPr>
      </w:pPr>
      <w:r>
        <w:rPr>
          <w:rFonts w:hint="eastAsia" w:ascii="微软雅黑" w:hAnsi="微软雅黑" w:eastAsia="微软雅黑" w:cs="宋体"/>
          <w:b w:val="0"/>
          <w:bCs/>
          <w:color w:val="3E3E3E"/>
          <w:kern w:val="0"/>
          <w:sz w:val="24"/>
          <w:szCs w:val="24"/>
        </w:rPr>
        <w:t>毕业时间为</w:t>
      </w:r>
      <w:r>
        <w:rPr>
          <w:rFonts w:hint="eastAsia" w:ascii="微软雅黑" w:hAnsi="微软雅黑" w:eastAsia="微软雅黑" w:cs="宋体"/>
          <w:b/>
          <w:bCs w:val="0"/>
          <w:color w:val="3E3E3E"/>
          <w:kern w:val="0"/>
          <w:sz w:val="24"/>
          <w:szCs w:val="24"/>
        </w:rPr>
        <w:t>202</w:t>
      </w:r>
      <w:r>
        <w:rPr>
          <w:rFonts w:hint="eastAsia" w:ascii="微软雅黑" w:hAnsi="微软雅黑" w:eastAsia="微软雅黑" w:cs="宋体"/>
          <w:b/>
          <w:bCs w:val="0"/>
          <w:color w:val="3E3E3E"/>
          <w:kern w:val="0"/>
          <w:sz w:val="24"/>
          <w:szCs w:val="24"/>
          <w:lang w:val="en-US" w:eastAsia="zh-CN"/>
        </w:rPr>
        <w:t>5</w:t>
      </w:r>
      <w:r>
        <w:rPr>
          <w:rFonts w:hint="eastAsia" w:ascii="微软雅黑" w:hAnsi="微软雅黑" w:eastAsia="微软雅黑" w:cs="宋体"/>
          <w:b/>
          <w:bCs w:val="0"/>
          <w:color w:val="3E3E3E"/>
          <w:kern w:val="0"/>
          <w:sz w:val="24"/>
          <w:szCs w:val="24"/>
        </w:rPr>
        <w:t>年6月1日-202</w:t>
      </w:r>
      <w:r>
        <w:rPr>
          <w:rFonts w:hint="eastAsia" w:ascii="微软雅黑" w:hAnsi="微软雅黑" w:eastAsia="微软雅黑" w:cs="宋体"/>
          <w:b/>
          <w:bCs w:val="0"/>
          <w:color w:val="3E3E3E"/>
          <w:kern w:val="0"/>
          <w:sz w:val="24"/>
          <w:szCs w:val="24"/>
          <w:lang w:val="en-US" w:eastAsia="zh-CN"/>
        </w:rPr>
        <w:t>7</w:t>
      </w:r>
      <w:r>
        <w:rPr>
          <w:rFonts w:hint="eastAsia" w:ascii="微软雅黑" w:hAnsi="微软雅黑" w:eastAsia="微软雅黑" w:cs="宋体"/>
          <w:b/>
          <w:bCs w:val="0"/>
          <w:color w:val="3E3E3E"/>
          <w:kern w:val="0"/>
          <w:sz w:val="24"/>
          <w:szCs w:val="24"/>
        </w:rPr>
        <w:t>年8月31日</w:t>
      </w:r>
      <w:r>
        <w:rPr>
          <w:rFonts w:hint="eastAsia" w:ascii="微软雅黑" w:hAnsi="微软雅黑" w:eastAsia="微软雅黑" w:cs="宋体"/>
          <w:b w:val="0"/>
          <w:bCs/>
          <w:color w:val="3E3E3E"/>
          <w:kern w:val="0"/>
          <w:sz w:val="24"/>
          <w:szCs w:val="24"/>
        </w:rPr>
        <w:t>的毕业生</w:t>
      </w:r>
    </w:p>
    <w:p w14:paraId="17108A73">
      <w:pPr>
        <w:widowControl/>
        <w:shd w:val="clear" w:color="auto" w:fill="FFFFFF"/>
        <w:spacing w:line="360" w:lineRule="auto"/>
        <w:ind w:left="420" w:hanging="420"/>
        <w:jc w:val="left"/>
        <w:rPr>
          <w:rFonts w:hint="default" w:ascii="微软雅黑" w:hAnsi="微软雅黑" w:eastAsia="微软雅黑" w:cs="宋体"/>
          <w:b w:val="0"/>
          <w:bCs/>
          <w:color w:val="3E3E3E"/>
          <w:kern w:val="0"/>
          <w:sz w:val="24"/>
          <w:szCs w:val="24"/>
          <w:lang w:val="en-US" w:eastAsia="zh-CN"/>
        </w:rPr>
      </w:pPr>
      <w:r>
        <w:rPr>
          <w:rFonts w:hint="eastAsia" w:ascii="微软雅黑" w:hAnsi="微软雅黑" w:eastAsia="微软雅黑" w:cs="宋体"/>
          <w:b w:val="0"/>
          <w:bCs/>
          <w:color w:val="3E3E3E"/>
          <w:kern w:val="0"/>
          <w:sz w:val="24"/>
          <w:szCs w:val="24"/>
        </w:rPr>
        <w:t>（中国大陆以毕业证为准，中国港澳台及海外地区以学位证为准）</w:t>
      </w:r>
    </w:p>
    <w:p w14:paraId="57E36A25">
      <w:pPr>
        <w:widowControl/>
        <w:shd w:val="clear" w:color="auto" w:fill="FFFFFF"/>
        <w:spacing w:line="360" w:lineRule="auto"/>
        <w:ind w:left="420" w:hanging="420"/>
        <w:jc w:val="left"/>
        <w:rPr>
          <w:rFonts w:ascii="微软雅黑" w:hAnsi="微软雅黑" w:eastAsia="微软雅黑" w:cs="宋体"/>
          <w:b/>
          <w:color w:val="3E3E3E"/>
          <w:kern w:val="0"/>
          <w:sz w:val="24"/>
          <w:szCs w:val="24"/>
          <w:highlight w:val="none"/>
        </w:rPr>
      </w:pPr>
      <w:r>
        <w:rPr>
          <w:rFonts w:hint="eastAsia" w:ascii="微软雅黑" w:hAnsi="微软雅黑" w:eastAsia="微软雅黑" w:cs="宋体"/>
          <w:b/>
          <w:color w:val="3E3E3E"/>
          <w:kern w:val="0"/>
          <w:sz w:val="24"/>
          <w:szCs w:val="24"/>
          <w:highlight w:val="none"/>
        </w:rPr>
        <w:t>三</w:t>
      </w:r>
      <w:r>
        <w:rPr>
          <w:rFonts w:ascii="微软雅黑" w:hAnsi="微软雅黑" w:eastAsia="微软雅黑" w:cs="宋体"/>
          <w:b/>
          <w:color w:val="3E3E3E"/>
          <w:kern w:val="0"/>
          <w:sz w:val="24"/>
          <w:szCs w:val="24"/>
          <w:highlight w:val="none"/>
        </w:rPr>
        <w:t>、</w:t>
      </w:r>
      <w:r>
        <w:rPr>
          <w:rFonts w:hint="eastAsia" w:ascii="微软雅黑" w:hAnsi="微软雅黑" w:eastAsia="微软雅黑" w:cs="宋体"/>
          <w:b/>
          <w:color w:val="3E3E3E"/>
          <w:kern w:val="0"/>
          <w:sz w:val="24"/>
          <w:szCs w:val="24"/>
          <w:highlight w:val="none"/>
        </w:rPr>
        <w:t>招聘岗位</w:t>
      </w:r>
    </w:p>
    <w:tbl>
      <w:tblPr>
        <w:tblStyle w:val="5"/>
        <w:tblW w:w="9617" w:type="dxa"/>
        <w:tblInd w:w="-10" w:type="dxa"/>
        <w:tblLayout w:type="autofit"/>
        <w:tblCellMar>
          <w:top w:w="0" w:type="dxa"/>
          <w:left w:w="108" w:type="dxa"/>
          <w:bottom w:w="0" w:type="dxa"/>
          <w:right w:w="108" w:type="dxa"/>
        </w:tblCellMar>
      </w:tblPr>
      <w:tblGrid>
        <w:gridCol w:w="1580"/>
        <w:gridCol w:w="4231"/>
        <w:gridCol w:w="3806"/>
      </w:tblGrid>
      <w:tr w14:paraId="645E2709">
        <w:tblPrEx>
          <w:tblCellMar>
            <w:top w:w="0" w:type="dxa"/>
            <w:left w:w="108" w:type="dxa"/>
            <w:bottom w:w="0" w:type="dxa"/>
            <w:right w:w="108" w:type="dxa"/>
          </w:tblCellMar>
        </w:tblPrEx>
        <w:trPr>
          <w:trHeight w:val="270" w:hRule="atLeast"/>
        </w:trPr>
        <w:tc>
          <w:tcPr>
            <w:tcW w:w="1580" w:type="dxa"/>
            <w:tcBorders>
              <w:top w:val="single" w:color="auto" w:sz="4" w:space="0"/>
              <w:left w:val="single" w:color="auto" w:sz="4" w:space="0"/>
              <w:bottom w:val="single" w:color="auto" w:sz="4" w:space="0"/>
              <w:right w:val="single" w:color="auto" w:sz="4" w:space="0"/>
            </w:tcBorders>
            <w:shd w:val="clear" w:color="000000" w:fill="auto"/>
            <w:vAlign w:val="center"/>
          </w:tcPr>
          <w:p w14:paraId="4BA0AF04">
            <w:pPr>
              <w:widowControl/>
              <w:jc w:val="center"/>
              <w:rPr>
                <w:rFonts w:hint="eastAsia" w:ascii="微软雅黑" w:hAnsi="微软雅黑" w:eastAsia="微软雅黑" w:cs="微软雅黑"/>
                <w:color w:val="000000"/>
                <w:kern w:val="0"/>
                <w:sz w:val="18"/>
                <w:szCs w:val="18"/>
              </w:rPr>
            </w:pPr>
            <w:r>
              <w:rPr>
                <w:rFonts w:hint="eastAsia" w:ascii="微软雅黑" w:hAnsi="微软雅黑" w:eastAsia="微软雅黑" w:cs="微软雅黑"/>
                <w:color w:val="000000"/>
                <w:kern w:val="0"/>
                <w:sz w:val="18"/>
                <w:szCs w:val="18"/>
              </w:rPr>
              <w:t>类别</w:t>
            </w:r>
          </w:p>
        </w:tc>
        <w:tc>
          <w:tcPr>
            <w:tcW w:w="4231" w:type="dxa"/>
            <w:tcBorders>
              <w:top w:val="single" w:color="auto" w:sz="4" w:space="0"/>
              <w:left w:val="single" w:color="auto" w:sz="4" w:space="0"/>
              <w:bottom w:val="single" w:color="auto" w:sz="4" w:space="0"/>
              <w:right w:val="single" w:color="auto" w:sz="4" w:space="0"/>
            </w:tcBorders>
            <w:shd w:val="clear" w:color="000000" w:fill="auto"/>
            <w:vAlign w:val="center"/>
          </w:tcPr>
          <w:p w14:paraId="0B6366C8">
            <w:pPr>
              <w:widowControl/>
              <w:tabs>
                <w:tab w:val="center" w:pos="2067"/>
                <w:tab w:val="right" w:pos="4015"/>
              </w:tabs>
              <w:jc w:val="left"/>
              <w:rPr>
                <w:rFonts w:hint="eastAsia" w:ascii="微软雅黑" w:hAnsi="微软雅黑" w:eastAsia="微软雅黑" w:cs="微软雅黑"/>
                <w:color w:val="000000"/>
                <w:kern w:val="0"/>
                <w:sz w:val="18"/>
                <w:szCs w:val="18"/>
                <w:lang w:eastAsia="zh-CN"/>
              </w:rPr>
            </w:pPr>
            <w:r>
              <w:rPr>
                <w:rFonts w:hint="eastAsia" w:ascii="微软雅黑" w:hAnsi="微软雅黑" w:eastAsia="微软雅黑" w:cs="微软雅黑"/>
                <w:color w:val="000000"/>
                <w:kern w:val="0"/>
                <w:sz w:val="18"/>
                <w:szCs w:val="18"/>
                <w:lang w:eastAsia="zh-CN"/>
              </w:rPr>
              <w:tab/>
            </w:r>
            <w:r>
              <w:rPr>
                <w:rFonts w:hint="eastAsia" w:ascii="微软雅黑" w:hAnsi="微软雅黑" w:eastAsia="微软雅黑" w:cs="微软雅黑"/>
                <w:color w:val="000000"/>
                <w:kern w:val="0"/>
                <w:sz w:val="18"/>
                <w:szCs w:val="18"/>
              </w:rPr>
              <w:t>职位名称</w:t>
            </w:r>
            <w:r>
              <w:rPr>
                <w:rFonts w:hint="eastAsia" w:ascii="微软雅黑" w:hAnsi="微软雅黑" w:eastAsia="微软雅黑" w:cs="微软雅黑"/>
                <w:color w:val="000000"/>
                <w:kern w:val="0"/>
                <w:sz w:val="18"/>
                <w:szCs w:val="18"/>
                <w:lang w:eastAsia="zh-CN"/>
              </w:rPr>
              <w:tab/>
            </w:r>
          </w:p>
        </w:tc>
        <w:tc>
          <w:tcPr>
            <w:tcW w:w="3806" w:type="dxa"/>
            <w:tcBorders>
              <w:top w:val="single" w:color="auto" w:sz="4" w:space="0"/>
              <w:left w:val="single" w:color="auto" w:sz="4" w:space="0"/>
              <w:bottom w:val="single" w:color="auto" w:sz="4" w:space="0"/>
              <w:right w:val="single" w:color="auto" w:sz="4" w:space="0"/>
            </w:tcBorders>
            <w:shd w:val="clear" w:color="000000" w:fill="auto"/>
            <w:vAlign w:val="center"/>
          </w:tcPr>
          <w:p w14:paraId="6A6D19CC">
            <w:pPr>
              <w:widowControl/>
              <w:jc w:val="center"/>
              <w:rPr>
                <w:rFonts w:hint="eastAsia" w:ascii="微软雅黑" w:hAnsi="微软雅黑" w:eastAsia="微软雅黑" w:cs="微软雅黑"/>
                <w:color w:val="000000"/>
                <w:kern w:val="0"/>
                <w:sz w:val="18"/>
                <w:szCs w:val="18"/>
              </w:rPr>
            </w:pPr>
            <w:r>
              <w:rPr>
                <w:rFonts w:hint="eastAsia" w:ascii="微软雅黑" w:hAnsi="微软雅黑" w:eastAsia="微软雅黑" w:cs="微软雅黑"/>
                <w:color w:val="000000"/>
                <w:kern w:val="0"/>
                <w:sz w:val="18"/>
                <w:szCs w:val="18"/>
              </w:rPr>
              <w:t>岗位地点</w:t>
            </w:r>
          </w:p>
        </w:tc>
      </w:tr>
      <w:tr w14:paraId="3428C330">
        <w:tblPrEx>
          <w:tblCellMar>
            <w:top w:w="0" w:type="dxa"/>
            <w:left w:w="108" w:type="dxa"/>
            <w:bottom w:w="0" w:type="dxa"/>
            <w:right w:w="108" w:type="dxa"/>
          </w:tblCellMar>
        </w:tblPrEx>
        <w:trPr>
          <w:trHeight w:val="300" w:hRule="atLeast"/>
        </w:trPr>
        <w:tc>
          <w:tcPr>
            <w:tcW w:w="1580" w:type="dxa"/>
            <w:vMerge w:val="restart"/>
            <w:tcBorders>
              <w:top w:val="single" w:color="auto" w:sz="4" w:space="0"/>
              <w:left w:val="single" w:color="auto" w:sz="4" w:space="0"/>
              <w:right w:val="single" w:color="auto" w:sz="4" w:space="0"/>
            </w:tcBorders>
            <w:shd w:val="clear" w:color="auto" w:fill="auto"/>
            <w:vAlign w:val="top"/>
          </w:tcPr>
          <w:p w14:paraId="2840E3D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研究算法类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3CD731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AI研究算法工程师-智能语音方向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B237E0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合肥/西安/上海</w:t>
            </w:r>
          </w:p>
        </w:tc>
      </w:tr>
      <w:tr w14:paraId="05C69828">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0E1B5E9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D023A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AI研究算法工程师-自然语言处理方向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591D9C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合肥/西安/广州/北京</w:t>
            </w:r>
          </w:p>
        </w:tc>
      </w:tr>
      <w:tr w14:paraId="04CDCBF9">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F96ED5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8AEA9C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AI研究算法工程师—推荐算法方向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BB8440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合肥/武汉</w:t>
            </w:r>
          </w:p>
        </w:tc>
      </w:tr>
      <w:tr w14:paraId="75091516">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00B9A0F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863C49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AI研究算法工程师-语音大模型方向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4B6CD1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合肥/西安/上海</w:t>
            </w:r>
          </w:p>
        </w:tc>
      </w:tr>
      <w:tr w14:paraId="5FA8D3D1">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0F9596A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F02FF0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AI研究算法工程师-搜索广告推荐方向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17A900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4E8D9946">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F23161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EA05DB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AI研究算法工程师-数据方向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5FF7FB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7E1EA2AA">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3924A9E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ACEAEA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AI研究算法工程师-深度学习框架和平台方向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8AACAC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5544B397">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39CF089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779375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AI研究算法工程师-具身智能数据方向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CF75E9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51FC4180">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313193C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8EB0F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AI研究算法工程师-认知大模型方向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F79D33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合肥/西安/广州/北京</w:t>
            </w:r>
          </w:p>
        </w:tc>
      </w:tr>
      <w:tr w14:paraId="5A47BCE8">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D5A74F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F326C8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AI研究算法工程师-具身智能和机器人方向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D16BD2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苏州</w:t>
            </w:r>
          </w:p>
        </w:tc>
      </w:tr>
      <w:tr w14:paraId="0BC43284">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5EC013C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A95787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AI研究算法工程师-具身智能大模型方向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D31FBD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400DF917">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4642115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A945EE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AI研究算法工程师-具身机器人交互方向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4FFE82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0C1865B6">
        <w:tblPrEx>
          <w:tblCellMar>
            <w:top w:w="0" w:type="dxa"/>
            <w:left w:w="108" w:type="dxa"/>
            <w:bottom w:w="0" w:type="dxa"/>
            <w:right w:w="108" w:type="dxa"/>
          </w:tblCellMar>
        </w:tblPrEx>
        <w:trPr>
          <w:trHeight w:val="90" w:hRule="atLeast"/>
        </w:trPr>
        <w:tc>
          <w:tcPr>
            <w:tcW w:w="1580" w:type="dxa"/>
            <w:vMerge w:val="continue"/>
            <w:tcBorders>
              <w:left w:val="single" w:color="auto" w:sz="4" w:space="0"/>
              <w:right w:val="single" w:color="auto" w:sz="4" w:space="0"/>
            </w:tcBorders>
            <w:vAlign w:val="top"/>
          </w:tcPr>
          <w:p w14:paraId="3173B86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04F40F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AI研究算法工程师-计算机视觉方向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370397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合肥/广州/成都</w:t>
            </w:r>
          </w:p>
        </w:tc>
      </w:tr>
      <w:tr w14:paraId="7A303EE3">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3FF4797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499FC8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AI研究算法工程师-机器人AI运动控制方向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4904B2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285E8AFD">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4EB9039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36A08A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AI研究算法工程师-机器人视觉感知方向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53BEF8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579FB6B2">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2624587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3FD41C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AI研究算法工程师-后训练研究方向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3C9CA2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合肥/武汉/西安/长春</w:t>
            </w:r>
          </w:p>
        </w:tc>
      </w:tr>
      <w:tr w14:paraId="2B59E0F7">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44895FD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A348C0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AI研究算法工程师-后训练强化学习方向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CAA8B3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6DCDF46A">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148A391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C2CFBC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AI研究算法工程师-高性能算子开发方向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E58A00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2F8BF649">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2CD06FC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7111EC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AI研究算法工程师-多模态大模型方向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8B4DAB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合肥/广州</w:t>
            </w:r>
          </w:p>
        </w:tc>
      </w:tr>
      <w:tr w14:paraId="28F7B693">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37A4D71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40F482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AI研究算法工程师-多模态理解方向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D6C19E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6F5B2033">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2437ECA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FF97BB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AI研究算法工程师-大模型预训练数据研究方向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AA32FB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合肥/武汉</w:t>
            </w:r>
          </w:p>
        </w:tc>
      </w:tr>
      <w:tr w14:paraId="00B8FCCE">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4DE640E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DBA1CC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AI研究算法工程师-大模型训推框架优化方向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250C93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6486C8B7">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0620A44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C20FA8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AI研究算法工程师-大模型预训练算法岗位</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8D2A62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0AEB5F6D">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3EA2DA9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BA52B1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AI研究算法工程师-大模型训练/推理Infra方向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E2E339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合肥/北京</w:t>
            </w:r>
          </w:p>
        </w:tc>
      </w:tr>
      <w:tr w14:paraId="2DEF99B6">
        <w:tblPrEx>
          <w:tblCellMar>
            <w:top w:w="0" w:type="dxa"/>
            <w:left w:w="108" w:type="dxa"/>
            <w:bottom w:w="0" w:type="dxa"/>
            <w:right w:w="108" w:type="dxa"/>
          </w:tblCellMar>
        </w:tblPrEx>
        <w:trPr>
          <w:trHeight w:val="270" w:hRule="atLeast"/>
        </w:trPr>
        <w:tc>
          <w:tcPr>
            <w:tcW w:w="1580" w:type="dxa"/>
            <w:vMerge w:val="restart"/>
            <w:tcBorders>
              <w:top w:val="single" w:color="auto" w:sz="4" w:space="0"/>
              <w:left w:val="single" w:color="auto" w:sz="4" w:space="0"/>
              <w:right w:val="single" w:color="auto" w:sz="4" w:space="0"/>
            </w:tcBorders>
            <w:vAlign w:val="top"/>
          </w:tcPr>
          <w:p w14:paraId="18CDB56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研发类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B95647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技术支持工程师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B4D10F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0999D6BA">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24D4E6E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E645FE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研发质量管理工程师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23D058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100AA00D">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9F10F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5C6632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运维开发工程师-SRE方向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CD13E1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7A7667AD">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0804C0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26C79D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硬件结构设计工程师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05163B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5ED6FE35">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1C939B2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41D1BA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硬件开发工程师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1A5FDF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合肥/苏州</w:t>
            </w:r>
          </w:p>
        </w:tc>
      </w:tr>
      <w:tr w14:paraId="5C029A29">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EB76A8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F67D72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移动端开发工程师-Android</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621F17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4B6A7BEC">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681A2DA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894ABD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嵌入式开发工程师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9D5E2E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合肥/深圳</w:t>
            </w:r>
          </w:p>
        </w:tc>
      </w:tr>
      <w:tr w14:paraId="6132FAE0">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48E260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FBDD49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机械结构工程师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76B308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0CA1DE78">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1387580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5A6BD3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机器人软件工程师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4326E3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2859891D">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A90A1C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12136E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安全工程师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E097CD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7E54392B">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79B40E5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0DF6BE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Java开发工程师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11F892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合肥/成都</w:t>
            </w:r>
          </w:p>
        </w:tc>
      </w:tr>
      <w:tr w14:paraId="0325B131">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2608F32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9D9666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GO开发工程师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434328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13BA7420">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4D1E2E0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DA845C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C++开发工程师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0DACF6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236EAE22">
        <w:tblPrEx>
          <w:tblCellMar>
            <w:top w:w="0" w:type="dxa"/>
            <w:left w:w="108" w:type="dxa"/>
            <w:bottom w:w="0" w:type="dxa"/>
            <w:right w:w="108" w:type="dxa"/>
          </w:tblCellMar>
        </w:tblPrEx>
        <w:trPr>
          <w:trHeight w:val="302" w:hRule="atLeast"/>
        </w:trPr>
        <w:tc>
          <w:tcPr>
            <w:tcW w:w="1580" w:type="dxa"/>
            <w:vMerge w:val="restart"/>
            <w:tcBorders>
              <w:top w:val="single" w:color="auto" w:sz="4" w:space="0"/>
              <w:left w:val="single" w:color="auto" w:sz="4" w:space="0"/>
              <w:right w:val="single" w:color="auto" w:sz="4" w:space="0"/>
            </w:tcBorders>
            <w:vAlign w:val="top"/>
          </w:tcPr>
          <w:p w14:paraId="7B53CC1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AI研发类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05AFC1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AI研发工程师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83A201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104CFD6E">
        <w:tblPrEx>
          <w:tblCellMar>
            <w:top w:w="0" w:type="dxa"/>
            <w:left w:w="108" w:type="dxa"/>
            <w:bottom w:w="0" w:type="dxa"/>
            <w:right w:w="108" w:type="dxa"/>
          </w:tblCellMar>
        </w:tblPrEx>
        <w:trPr>
          <w:trHeight w:val="270" w:hRule="atLeast"/>
        </w:trPr>
        <w:tc>
          <w:tcPr>
            <w:tcW w:w="1580" w:type="dxa"/>
            <w:vMerge w:val="continue"/>
            <w:tcBorders>
              <w:left w:val="single" w:color="auto" w:sz="4" w:space="0"/>
              <w:right w:val="single" w:color="auto" w:sz="4" w:space="0"/>
            </w:tcBorders>
            <w:vAlign w:val="top"/>
          </w:tcPr>
          <w:p w14:paraId="207A30C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F29D61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Agent研发工程师-Harness方向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4A5700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合肥/武汉</w:t>
            </w:r>
          </w:p>
        </w:tc>
      </w:tr>
      <w:tr w14:paraId="67D19C93">
        <w:tblPrEx>
          <w:tblCellMar>
            <w:top w:w="0" w:type="dxa"/>
            <w:left w:w="108" w:type="dxa"/>
            <w:bottom w:w="0" w:type="dxa"/>
            <w:right w:w="108" w:type="dxa"/>
          </w:tblCellMar>
        </w:tblPrEx>
        <w:trPr>
          <w:trHeight w:val="270" w:hRule="atLeast"/>
        </w:trPr>
        <w:tc>
          <w:tcPr>
            <w:tcW w:w="1580" w:type="dxa"/>
            <w:tcBorders>
              <w:top w:val="single" w:color="auto" w:sz="4" w:space="0"/>
              <w:left w:val="single" w:color="auto" w:sz="4" w:space="0"/>
              <w:right w:val="single" w:color="auto" w:sz="4" w:space="0"/>
            </w:tcBorders>
            <w:vAlign w:val="top"/>
          </w:tcPr>
          <w:p w14:paraId="584D35C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大数据类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DEB15F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大数据工程师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C00D5E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合肥</w:t>
            </w:r>
          </w:p>
        </w:tc>
      </w:tr>
      <w:tr w14:paraId="6B8225B4">
        <w:tblPrEx>
          <w:tblCellMar>
            <w:top w:w="0" w:type="dxa"/>
            <w:left w:w="108" w:type="dxa"/>
            <w:bottom w:w="0" w:type="dxa"/>
            <w:right w:w="108" w:type="dxa"/>
          </w:tblCellMar>
        </w:tblPrEx>
        <w:trPr>
          <w:trHeight w:val="306" w:hRule="atLeast"/>
        </w:trPr>
        <w:tc>
          <w:tcPr>
            <w:tcW w:w="1580" w:type="dxa"/>
            <w:vMerge w:val="restart"/>
            <w:tcBorders>
              <w:top w:val="single" w:color="auto" w:sz="4" w:space="0"/>
              <w:left w:val="single" w:color="auto" w:sz="4" w:space="0"/>
              <w:right w:val="single" w:color="auto" w:sz="4" w:space="0"/>
            </w:tcBorders>
            <w:vAlign w:val="top"/>
          </w:tcPr>
          <w:p w14:paraId="49845E4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产品类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F5410C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kern w:val="0"/>
                <w:sz w:val="18"/>
                <w:szCs w:val="18"/>
                <w:lang w:val="en-US" w:eastAsia="zh-CN" w:bidi="ar"/>
              </w:rPr>
              <w:t>PMO经理-产品管理方向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1E25C7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color w:val="000000"/>
                <w:kern w:val="0"/>
                <w:sz w:val="18"/>
                <w:szCs w:val="18"/>
                <w:lang w:val="en-US" w:eastAsia="zh-CN"/>
              </w:rPr>
            </w:pPr>
            <w:r>
              <w:rPr>
                <w:rFonts w:hint="eastAsia" w:ascii="微软雅黑" w:hAnsi="微软雅黑" w:eastAsia="微软雅黑" w:cs="微软雅黑"/>
                <w:color w:val="000000"/>
                <w:kern w:val="0"/>
                <w:sz w:val="18"/>
                <w:szCs w:val="18"/>
                <w:lang w:val="en-US" w:eastAsia="zh-CN"/>
              </w:rPr>
              <w:t>合肥</w:t>
            </w:r>
          </w:p>
        </w:tc>
      </w:tr>
      <w:tr w14:paraId="740AC378">
        <w:tblPrEx>
          <w:tblCellMar>
            <w:top w:w="0" w:type="dxa"/>
            <w:left w:w="108" w:type="dxa"/>
            <w:bottom w:w="0" w:type="dxa"/>
            <w:right w:w="108" w:type="dxa"/>
          </w:tblCellMar>
        </w:tblPrEx>
        <w:trPr>
          <w:trHeight w:val="326" w:hRule="atLeast"/>
        </w:trPr>
        <w:tc>
          <w:tcPr>
            <w:tcW w:w="1580" w:type="dxa"/>
            <w:vMerge w:val="continue"/>
            <w:tcBorders>
              <w:left w:val="single" w:color="auto" w:sz="4" w:space="0"/>
              <w:right w:val="single" w:color="auto" w:sz="4" w:space="0"/>
            </w:tcBorders>
            <w:vAlign w:val="top"/>
          </w:tcPr>
          <w:p w14:paraId="550AB75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F7FF35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PMO经理-项目管理方向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0F7328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741A3FBF">
        <w:tblPrEx>
          <w:tblCellMar>
            <w:top w:w="0" w:type="dxa"/>
            <w:left w:w="108" w:type="dxa"/>
            <w:bottom w:w="0" w:type="dxa"/>
            <w:right w:w="108" w:type="dxa"/>
          </w:tblCellMar>
        </w:tblPrEx>
        <w:trPr>
          <w:trHeight w:val="316" w:hRule="atLeast"/>
        </w:trPr>
        <w:tc>
          <w:tcPr>
            <w:tcW w:w="1580" w:type="dxa"/>
            <w:vMerge w:val="continue"/>
            <w:tcBorders>
              <w:left w:val="single" w:color="auto" w:sz="4" w:space="0"/>
              <w:right w:val="single" w:color="auto" w:sz="4" w:space="0"/>
            </w:tcBorders>
            <w:vAlign w:val="top"/>
          </w:tcPr>
          <w:p w14:paraId="54C68A5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E4E15E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模型出海增长运营</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66F397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19703458">
        <w:tblPrEx>
          <w:tblCellMar>
            <w:top w:w="0" w:type="dxa"/>
            <w:left w:w="108" w:type="dxa"/>
            <w:bottom w:w="0" w:type="dxa"/>
            <w:right w:w="108" w:type="dxa"/>
          </w:tblCellMar>
        </w:tblPrEx>
        <w:trPr>
          <w:trHeight w:val="336" w:hRule="atLeast"/>
        </w:trPr>
        <w:tc>
          <w:tcPr>
            <w:tcW w:w="1580" w:type="dxa"/>
            <w:vMerge w:val="continue"/>
            <w:tcBorders>
              <w:left w:val="single" w:color="auto" w:sz="4" w:space="0"/>
              <w:right w:val="single" w:color="auto" w:sz="4" w:space="0"/>
            </w:tcBorders>
            <w:vAlign w:val="top"/>
          </w:tcPr>
          <w:p w14:paraId="0130C64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51172B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产品运营</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B27CC3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51C3179D">
        <w:tblPrEx>
          <w:tblCellMar>
            <w:top w:w="0" w:type="dxa"/>
            <w:left w:w="108" w:type="dxa"/>
            <w:bottom w:w="0" w:type="dxa"/>
            <w:right w:w="108" w:type="dxa"/>
          </w:tblCellMar>
        </w:tblPrEx>
        <w:trPr>
          <w:trHeight w:val="336" w:hRule="atLeast"/>
        </w:trPr>
        <w:tc>
          <w:tcPr>
            <w:tcW w:w="1580" w:type="dxa"/>
            <w:vMerge w:val="continue"/>
            <w:tcBorders>
              <w:left w:val="single" w:color="auto" w:sz="4" w:space="0"/>
              <w:right w:val="single" w:color="auto" w:sz="4" w:space="0"/>
            </w:tcBorders>
            <w:vAlign w:val="top"/>
          </w:tcPr>
          <w:p w14:paraId="2B0F9BF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AD8F6B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产品经理-AI安全方向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E74849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040D7C56">
        <w:tblPrEx>
          <w:tblCellMar>
            <w:top w:w="0" w:type="dxa"/>
            <w:left w:w="108" w:type="dxa"/>
            <w:bottom w:w="0" w:type="dxa"/>
            <w:right w:w="108" w:type="dxa"/>
          </w:tblCellMar>
        </w:tblPrEx>
        <w:trPr>
          <w:trHeight w:val="336" w:hRule="atLeast"/>
        </w:trPr>
        <w:tc>
          <w:tcPr>
            <w:tcW w:w="1580" w:type="dxa"/>
            <w:vMerge w:val="continue"/>
            <w:tcBorders>
              <w:left w:val="single" w:color="auto" w:sz="4" w:space="0"/>
              <w:right w:val="single" w:color="auto" w:sz="4" w:space="0"/>
            </w:tcBorders>
            <w:vAlign w:val="top"/>
          </w:tcPr>
          <w:p w14:paraId="1997DFC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1A4B99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产品经理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60C8CC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合肥/武汉/深圳</w:t>
            </w:r>
          </w:p>
        </w:tc>
      </w:tr>
      <w:tr w14:paraId="763D055D">
        <w:tblPrEx>
          <w:tblCellMar>
            <w:top w:w="0" w:type="dxa"/>
            <w:left w:w="108" w:type="dxa"/>
            <w:bottom w:w="0" w:type="dxa"/>
            <w:right w:w="108" w:type="dxa"/>
          </w:tblCellMar>
        </w:tblPrEx>
        <w:trPr>
          <w:trHeight w:val="336" w:hRule="atLeast"/>
        </w:trPr>
        <w:tc>
          <w:tcPr>
            <w:tcW w:w="1580" w:type="dxa"/>
            <w:vMerge w:val="continue"/>
            <w:tcBorders>
              <w:left w:val="single" w:color="auto" w:sz="4" w:space="0"/>
              <w:bottom w:val="single" w:color="auto" w:sz="4" w:space="0"/>
              <w:right w:val="single" w:color="auto" w:sz="4" w:space="0"/>
            </w:tcBorders>
            <w:vAlign w:val="top"/>
          </w:tcPr>
          <w:p w14:paraId="3E8ADE5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CEBE18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AI产品经理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876425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1CE7C7DF">
        <w:tblPrEx>
          <w:tblCellMar>
            <w:top w:w="0" w:type="dxa"/>
            <w:left w:w="108" w:type="dxa"/>
            <w:bottom w:w="0" w:type="dxa"/>
            <w:right w:w="108" w:type="dxa"/>
          </w:tblCellMar>
        </w:tblPrEx>
        <w:trPr>
          <w:trHeight w:val="306" w:hRule="atLeast"/>
        </w:trPr>
        <w:tc>
          <w:tcPr>
            <w:tcW w:w="1580" w:type="dxa"/>
            <w:vMerge w:val="restart"/>
            <w:tcBorders>
              <w:top w:val="single" w:color="auto" w:sz="4" w:space="0"/>
              <w:left w:val="single" w:color="auto" w:sz="4" w:space="0"/>
              <w:right w:val="single" w:color="auto" w:sz="4" w:space="0"/>
            </w:tcBorders>
            <w:vAlign w:val="top"/>
          </w:tcPr>
          <w:p w14:paraId="6384ED4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测试类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EC5D77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硬件测试工程师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E3CF5A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38925CB1">
        <w:tblPrEx>
          <w:tblCellMar>
            <w:top w:w="0" w:type="dxa"/>
            <w:left w:w="108" w:type="dxa"/>
            <w:bottom w:w="0" w:type="dxa"/>
            <w:right w:w="108" w:type="dxa"/>
          </w:tblCellMar>
        </w:tblPrEx>
        <w:trPr>
          <w:trHeight w:val="306" w:hRule="atLeast"/>
        </w:trPr>
        <w:tc>
          <w:tcPr>
            <w:tcW w:w="1580" w:type="dxa"/>
            <w:vMerge w:val="continue"/>
            <w:tcBorders>
              <w:left w:val="single" w:color="auto" w:sz="4" w:space="0"/>
              <w:right w:val="single" w:color="auto" w:sz="4" w:space="0"/>
            </w:tcBorders>
            <w:vAlign w:val="top"/>
          </w:tcPr>
          <w:p w14:paraId="792FFB8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8A67D9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测试开发工程师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23AB89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合肥/成都</w:t>
            </w:r>
          </w:p>
        </w:tc>
      </w:tr>
      <w:tr w14:paraId="3E70DABE">
        <w:tblPrEx>
          <w:tblCellMar>
            <w:top w:w="0" w:type="dxa"/>
            <w:left w:w="108" w:type="dxa"/>
            <w:bottom w:w="0" w:type="dxa"/>
            <w:right w:w="108" w:type="dxa"/>
          </w:tblCellMar>
        </w:tblPrEx>
        <w:trPr>
          <w:trHeight w:val="306" w:hRule="atLeast"/>
        </w:trPr>
        <w:tc>
          <w:tcPr>
            <w:tcW w:w="1580" w:type="dxa"/>
            <w:vMerge w:val="continue"/>
            <w:tcBorders>
              <w:left w:val="single" w:color="auto" w:sz="4" w:space="0"/>
              <w:bottom w:val="single" w:color="auto" w:sz="4" w:space="0"/>
              <w:right w:val="single" w:color="auto" w:sz="4" w:space="0"/>
            </w:tcBorders>
            <w:vAlign w:val="top"/>
          </w:tcPr>
          <w:p w14:paraId="0168048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07A15F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AI算法测试开发工程师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F24B7A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078C1803">
        <w:tblPrEx>
          <w:tblCellMar>
            <w:top w:w="0" w:type="dxa"/>
            <w:left w:w="108" w:type="dxa"/>
            <w:bottom w:w="0" w:type="dxa"/>
            <w:right w:w="108" w:type="dxa"/>
          </w:tblCellMar>
        </w:tblPrEx>
        <w:trPr>
          <w:trHeight w:val="316" w:hRule="atLeast"/>
        </w:trPr>
        <w:tc>
          <w:tcPr>
            <w:tcW w:w="1580" w:type="dxa"/>
            <w:vMerge w:val="restart"/>
            <w:tcBorders>
              <w:top w:val="single" w:color="auto" w:sz="4" w:space="0"/>
              <w:left w:val="single" w:color="auto" w:sz="4" w:space="0"/>
              <w:right w:val="single" w:color="auto" w:sz="4" w:space="0"/>
            </w:tcBorders>
            <w:vAlign w:val="top"/>
          </w:tcPr>
          <w:p w14:paraId="6FACE71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营销类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C2DC79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市场营销策划</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1E16E8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6397233A">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4C3E2A2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47C07E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直播运营-主播方向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C63462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北京</w:t>
            </w:r>
          </w:p>
        </w:tc>
      </w:tr>
      <w:tr w14:paraId="728FF84A">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4DB35AA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077126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售前咨询</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BD1530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合肥/北京</w:t>
            </w:r>
          </w:p>
        </w:tc>
      </w:tr>
      <w:tr w14:paraId="38563D22">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0BD79EC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FB66DF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市场经理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31566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75575FCA">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43C75C8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9C5276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市场营销策划-电商平台方向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2EC0DC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01637BAC">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611239D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E6F889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渠道经理-电商平台方向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80074C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00F1CBF2">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5DCE02F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23479B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履约管理工程师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837B75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28628B2F">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13D470B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383137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零售运营-学习机方向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79205F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color w:val="000000"/>
                <w:kern w:val="0"/>
                <w:sz w:val="18"/>
                <w:szCs w:val="18"/>
                <w:lang w:val="en-US" w:eastAsia="zh-CN"/>
              </w:rPr>
              <w:t>合肥</w:t>
            </w:r>
          </w:p>
        </w:tc>
      </w:tr>
      <w:tr w14:paraId="15169ACC">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5D10497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F932C0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客户经理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00C725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合肥/北京/南京/广州/成都/武汉/石家庄/上海/西安/杭州/郑州/济南/ 昆明/福州/乌鲁木齐</w:t>
            </w:r>
          </w:p>
        </w:tc>
      </w:tr>
      <w:tr w14:paraId="5561CBA7">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3751968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E541CF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客户经理-商务方向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342F55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北京</w:t>
            </w:r>
          </w:p>
        </w:tc>
      </w:tr>
      <w:tr w14:paraId="75CB655E">
        <w:tblPrEx>
          <w:tblCellMar>
            <w:top w:w="0" w:type="dxa"/>
            <w:left w:w="108" w:type="dxa"/>
            <w:bottom w:w="0" w:type="dxa"/>
            <w:right w:w="108" w:type="dxa"/>
          </w:tblCellMar>
        </w:tblPrEx>
        <w:trPr>
          <w:trHeight w:val="286" w:hRule="atLeast"/>
        </w:trPr>
        <w:tc>
          <w:tcPr>
            <w:tcW w:w="1580" w:type="dxa"/>
            <w:vMerge w:val="continue"/>
            <w:tcBorders>
              <w:left w:val="single" w:color="auto" w:sz="4" w:space="0"/>
              <w:right w:val="single" w:color="auto" w:sz="4" w:space="0"/>
            </w:tcBorders>
            <w:vAlign w:val="top"/>
          </w:tcPr>
          <w:p w14:paraId="75FF506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9D08DE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电商运营经理-直播方向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AFE8A2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北京</w:t>
            </w:r>
          </w:p>
        </w:tc>
      </w:tr>
      <w:tr w14:paraId="197DFF75">
        <w:tblPrEx>
          <w:tblCellMar>
            <w:top w:w="0" w:type="dxa"/>
            <w:left w:w="108" w:type="dxa"/>
            <w:bottom w:w="0" w:type="dxa"/>
            <w:right w:w="108" w:type="dxa"/>
          </w:tblCellMar>
        </w:tblPrEx>
        <w:trPr>
          <w:trHeight w:val="286" w:hRule="atLeast"/>
        </w:trPr>
        <w:tc>
          <w:tcPr>
            <w:tcW w:w="1580" w:type="dxa"/>
            <w:vMerge w:val="continue"/>
            <w:tcBorders>
              <w:left w:val="single" w:color="auto" w:sz="4" w:space="0"/>
              <w:bottom w:val="single" w:color="auto" w:sz="4" w:space="0"/>
              <w:right w:val="single" w:color="auto" w:sz="4" w:space="0"/>
            </w:tcBorders>
            <w:vAlign w:val="top"/>
          </w:tcPr>
          <w:p w14:paraId="2AB2716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13943B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产品运营经理-2B2C市场方向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EB38EE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60A64E1C">
        <w:tblPrEx>
          <w:tblCellMar>
            <w:top w:w="0" w:type="dxa"/>
            <w:left w:w="108" w:type="dxa"/>
            <w:bottom w:w="0" w:type="dxa"/>
            <w:right w:w="108" w:type="dxa"/>
          </w:tblCellMar>
        </w:tblPrEx>
        <w:trPr>
          <w:trHeight w:val="316" w:hRule="atLeast"/>
        </w:trPr>
        <w:tc>
          <w:tcPr>
            <w:tcW w:w="1580" w:type="dxa"/>
            <w:vMerge w:val="restart"/>
            <w:tcBorders>
              <w:top w:val="single" w:color="auto" w:sz="4" w:space="0"/>
              <w:left w:val="single" w:color="auto" w:sz="4" w:space="0"/>
              <w:bottom w:val="single" w:color="auto" w:sz="4" w:space="0"/>
              <w:right w:val="single" w:color="auto" w:sz="4" w:space="0"/>
            </w:tcBorders>
            <w:vAlign w:val="top"/>
          </w:tcPr>
          <w:p w14:paraId="5968A97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教育类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B0ED51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课程产品经理-教育技术学方向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C55EE5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4A2CC9E8">
        <w:tblPrEx>
          <w:tblCellMar>
            <w:top w:w="0" w:type="dxa"/>
            <w:left w:w="108" w:type="dxa"/>
            <w:bottom w:w="0" w:type="dxa"/>
            <w:right w:w="108" w:type="dxa"/>
          </w:tblCellMar>
        </w:tblPrEx>
        <w:trPr>
          <w:trHeight w:val="28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4F4D84D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3E8D69C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教育技术研究员</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BD6DFA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3DEA4ACC">
        <w:tblPrEx>
          <w:tblCellMar>
            <w:top w:w="0" w:type="dxa"/>
            <w:left w:w="108" w:type="dxa"/>
            <w:bottom w:w="0" w:type="dxa"/>
            <w:right w:w="108" w:type="dxa"/>
          </w:tblCellMar>
        </w:tblPrEx>
        <w:trPr>
          <w:trHeight w:val="316" w:hRule="atLeast"/>
        </w:trPr>
        <w:tc>
          <w:tcPr>
            <w:tcW w:w="1580" w:type="dxa"/>
            <w:vMerge w:val="restart"/>
            <w:tcBorders>
              <w:top w:val="single" w:color="auto" w:sz="4" w:space="0"/>
              <w:left w:val="single" w:color="auto" w:sz="4" w:space="0"/>
              <w:bottom w:val="single" w:color="auto" w:sz="4" w:space="0"/>
              <w:right w:val="single" w:color="auto" w:sz="4" w:space="0"/>
            </w:tcBorders>
            <w:vAlign w:val="top"/>
          </w:tcPr>
          <w:p w14:paraId="35CECD5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设计类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348AF4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视觉设计师-品牌设计方向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E1BE0A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695AD9F7">
        <w:tblPrEx>
          <w:tblCellMar>
            <w:top w:w="0" w:type="dxa"/>
            <w:left w:w="108" w:type="dxa"/>
            <w:bottom w:w="0" w:type="dxa"/>
            <w:right w:w="108" w:type="dxa"/>
          </w:tblCellMar>
        </w:tblPrEx>
        <w:trPr>
          <w:trHeight w:val="29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03BEA94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743CD8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视觉设计工程师-K12教育UI方向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731AF19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北京</w:t>
            </w:r>
          </w:p>
        </w:tc>
      </w:tr>
      <w:tr w14:paraId="0314CDA3">
        <w:tblPrEx>
          <w:tblCellMar>
            <w:top w:w="0" w:type="dxa"/>
            <w:left w:w="108" w:type="dxa"/>
            <w:bottom w:w="0" w:type="dxa"/>
            <w:right w:w="108" w:type="dxa"/>
          </w:tblCellMar>
        </w:tblPrEx>
        <w:trPr>
          <w:trHeight w:val="31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276371B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21885C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视觉设计工程师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615021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496663E8">
        <w:tblPrEx>
          <w:tblCellMar>
            <w:top w:w="0" w:type="dxa"/>
            <w:left w:w="108" w:type="dxa"/>
            <w:bottom w:w="0" w:type="dxa"/>
            <w:right w:w="108" w:type="dxa"/>
          </w:tblCellMar>
        </w:tblPrEx>
        <w:trPr>
          <w:trHeight w:val="31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30A6FB3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A6BC0D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交互设计工程师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E71A33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合肥/成都</w:t>
            </w:r>
          </w:p>
        </w:tc>
      </w:tr>
      <w:tr w14:paraId="70B76D07">
        <w:tblPrEx>
          <w:tblCellMar>
            <w:top w:w="0" w:type="dxa"/>
            <w:left w:w="108" w:type="dxa"/>
            <w:bottom w:w="0" w:type="dxa"/>
            <w:right w:w="108" w:type="dxa"/>
          </w:tblCellMar>
        </w:tblPrEx>
        <w:trPr>
          <w:trHeight w:val="27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5CE3680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671015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UI设计工程师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EB14DE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051B2EA9">
        <w:tblPrEx>
          <w:tblCellMar>
            <w:top w:w="0" w:type="dxa"/>
            <w:left w:w="108" w:type="dxa"/>
            <w:bottom w:w="0" w:type="dxa"/>
            <w:right w:w="108" w:type="dxa"/>
          </w:tblCellMar>
        </w:tblPrEx>
        <w:trPr>
          <w:trHeight w:val="326" w:hRule="atLeast"/>
        </w:trPr>
        <w:tc>
          <w:tcPr>
            <w:tcW w:w="1580" w:type="dxa"/>
            <w:vMerge w:val="restart"/>
            <w:tcBorders>
              <w:top w:val="single" w:color="auto" w:sz="4" w:space="0"/>
              <w:left w:val="single" w:color="auto" w:sz="4" w:space="0"/>
              <w:bottom w:val="single" w:color="auto" w:sz="4" w:space="0"/>
              <w:right w:val="single" w:color="auto" w:sz="4" w:space="0"/>
            </w:tcBorders>
            <w:vAlign w:val="top"/>
          </w:tcPr>
          <w:p w14:paraId="5A469DF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职能类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D0250D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行政支持</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BEB1EC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25C2F47F">
        <w:tblPrEx>
          <w:tblCellMar>
            <w:top w:w="0" w:type="dxa"/>
            <w:left w:w="108" w:type="dxa"/>
            <w:bottom w:w="0" w:type="dxa"/>
            <w:right w:w="108" w:type="dxa"/>
          </w:tblCellMar>
        </w:tblPrEx>
        <w:trPr>
          <w:trHeight w:val="31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2DB0FDF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9A4F71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资质申报师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C3A3BD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38C5CE99">
        <w:tblPrEx>
          <w:tblCellMar>
            <w:top w:w="0" w:type="dxa"/>
            <w:left w:w="108" w:type="dxa"/>
            <w:bottom w:w="0" w:type="dxa"/>
            <w:right w:w="108" w:type="dxa"/>
          </w:tblCellMar>
        </w:tblPrEx>
        <w:trPr>
          <w:trHeight w:val="32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191FEBB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D92D38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运营管理师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EDD3BD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77C13544">
        <w:tblPrEx>
          <w:tblCellMar>
            <w:top w:w="0" w:type="dxa"/>
            <w:left w:w="108" w:type="dxa"/>
            <w:bottom w:w="0" w:type="dxa"/>
            <w:right w:w="108" w:type="dxa"/>
          </w:tblCellMar>
        </w:tblPrEx>
        <w:trPr>
          <w:trHeight w:val="30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2E16D6E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F46D1E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default" w:ascii="微软雅黑" w:hAnsi="微软雅黑" w:eastAsia="微软雅黑" w:cs="微软雅黑"/>
                <w:kern w:val="0"/>
                <w:sz w:val="18"/>
                <w:szCs w:val="18"/>
                <w:lang w:val="en-US" w:eastAsia="zh-CN" w:bidi="ar"/>
              </w:rPr>
              <w:t>运营管理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F6324D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63FDD45E">
        <w:tblPrEx>
          <w:tblCellMar>
            <w:top w:w="0" w:type="dxa"/>
            <w:left w:w="108" w:type="dxa"/>
            <w:bottom w:w="0" w:type="dxa"/>
            <w:right w:w="108" w:type="dxa"/>
          </w:tblCellMar>
        </w:tblPrEx>
        <w:trPr>
          <w:trHeight w:val="32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5470D19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5B39DE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项目管理工程师-PMO</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0C7E39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7232D51A">
        <w:tblPrEx>
          <w:tblCellMar>
            <w:top w:w="0" w:type="dxa"/>
            <w:left w:w="108" w:type="dxa"/>
            <w:bottom w:w="0" w:type="dxa"/>
            <w:right w:w="108" w:type="dxa"/>
          </w:tblCellMar>
        </w:tblPrEx>
        <w:trPr>
          <w:trHeight w:val="30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334CE67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C9C90A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生产计划工程师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D67DF7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57C47C72">
        <w:tblPrEx>
          <w:tblCellMar>
            <w:top w:w="0" w:type="dxa"/>
            <w:left w:w="108" w:type="dxa"/>
            <w:bottom w:w="0" w:type="dxa"/>
            <w:right w:w="108" w:type="dxa"/>
          </w:tblCellMar>
        </w:tblPrEx>
        <w:trPr>
          <w:trHeight w:val="32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0386B7F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183205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人力资源</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B679ED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1DF827BD">
        <w:tblPrEx>
          <w:tblCellMar>
            <w:top w:w="0" w:type="dxa"/>
            <w:left w:w="108" w:type="dxa"/>
            <w:bottom w:w="0" w:type="dxa"/>
            <w:right w:w="108" w:type="dxa"/>
          </w:tblCellMar>
        </w:tblPrEx>
        <w:trPr>
          <w:trHeight w:val="33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1469FB9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DC1D4C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人工智能科普官</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0607911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北京</w:t>
            </w:r>
          </w:p>
        </w:tc>
      </w:tr>
      <w:tr w14:paraId="75F40CBA">
        <w:tblPrEx>
          <w:tblCellMar>
            <w:top w:w="0" w:type="dxa"/>
            <w:left w:w="108" w:type="dxa"/>
            <w:bottom w:w="0" w:type="dxa"/>
            <w:right w:w="108" w:type="dxa"/>
          </w:tblCellMar>
        </w:tblPrEx>
        <w:trPr>
          <w:trHeight w:val="32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552FCF5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497508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品牌经理-学习机方向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3B54FF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1F14C4D6">
        <w:tblPrEx>
          <w:tblCellMar>
            <w:top w:w="0" w:type="dxa"/>
            <w:left w:w="108" w:type="dxa"/>
            <w:bottom w:w="0" w:type="dxa"/>
            <w:right w:w="108" w:type="dxa"/>
          </w:tblCellMar>
        </w:tblPrEx>
        <w:trPr>
          <w:trHeight w:val="29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47A1EA5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BAF9EE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合同商务工程师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2B2C29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1B6725BB">
        <w:tblPrEx>
          <w:tblCellMar>
            <w:top w:w="0" w:type="dxa"/>
            <w:left w:w="108" w:type="dxa"/>
            <w:bottom w:w="0" w:type="dxa"/>
            <w:right w:w="108" w:type="dxa"/>
          </w:tblCellMar>
        </w:tblPrEx>
        <w:trPr>
          <w:trHeight w:val="27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22CB145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57B909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财经会计</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5DC371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1FA1F4E3">
        <w:tblPrEx>
          <w:tblCellMar>
            <w:top w:w="0" w:type="dxa"/>
            <w:left w:w="108" w:type="dxa"/>
            <w:bottom w:w="0" w:type="dxa"/>
            <w:right w:w="108" w:type="dxa"/>
          </w:tblCellMar>
        </w:tblPrEx>
        <w:trPr>
          <w:trHeight w:val="296" w:hRule="atLeast"/>
        </w:trPr>
        <w:tc>
          <w:tcPr>
            <w:tcW w:w="1580" w:type="dxa"/>
            <w:vMerge w:val="restart"/>
            <w:tcBorders>
              <w:top w:val="single" w:color="auto" w:sz="4" w:space="0"/>
              <w:left w:val="single" w:color="auto" w:sz="4" w:space="0"/>
              <w:right w:val="single" w:color="auto" w:sz="4" w:space="0"/>
            </w:tcBorders>
            <w:vAlign w:val="top"/>
          </w:tcPr>
          <w:p w14:paraId="68AD404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资源类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5C5D7F0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语言学研究员</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DBBAAF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3A3F5AC9">
        <w:tblPrEx>
          <w:tblCellMar>
            <w:top w:w="0" w:type="dxa"/>
            <w:left w:w="108" w:type="dxa"/>
            <w:bottom w:w="0" w:type="dxa"/>
            <w:right w:w="108" w:type="dxa"/>
          </w:tblCellMar>
        </w:tblPrEx>
        <w:trPr>
          <w:trHeight w:val="296" w:hRule="atLeast"/>
        </w:trPr>
        <w:tc>
          <w:tcPr>
            <w:tcW w:w="1580" w:type="dxa"/>
            <w:vMerge w:val="continue"/>
            <w:tcBorders>
              <w:left w:val="single" w:color="auto" w:sz="4" w:space="0"/>
              <w:right w:val="single" w:color="auto" w:sz="4" w:space="0"/>
            </w:tcBorders>
            <w:vAlign w:val="top"/>
          </w:tcPr>
          <w:p w14:paraId="77D24B1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2AA3F63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大模型数据项目经理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FD0345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05D525CB">
        <w:tblPrEx>
          <w:tblCellMar>
            <w:top w:w="0" w:type="dxa"/>
            <w:left w:w="108" w:type="dxa"/>
            <w:bottom w:w="0" w:type="dxa"/>
            <w:right w:w="108" w:type="dxa"/>
          </w:tblCellMar>
        </w:tblPrEx>
        <w:trPr>
          <w:trHeight w:val="296" w:hRule="atLeast"/>
        </w:trPr>
        <w:tc>
          <w:tcPr>
            <w:tcW w:w="1580" w:type="dxa"/>
            <w:vMerge w:val="continue"/>
            <w:tcBorders>
              <w:left w:val="single" w:color="auto" w:sz="4" w:space="0"/>
              <w:bottom w:val="single" w:color="auto" w:sz="4" w:space="0"/>
              <w:right w:val="single" w:color="auto" w:sz="4" w:space="0"/>
            </w:tcBorders>
            <w:vAlign w:val="top"/>
          </w:tcPr>
          <w:p w14:paraId="35D9255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6C5B71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AI数据工程师-基座大模型方向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F2E989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合肥/武汉</w:t>
            </w:r>
          </w:p>
        </w:tc>
      </w:tr>
      <w:tr w14:paraId="2F863902">
        <w:tblPrEx>
          <w:tblCellMar>
            <w:top w:w="0" w:type="dxa"/>
            <w:left w:w="108" w:type="dxa"/>
            <w:bottom w:w="0" w:type="dxa"/>
            <w:right w:w="108" w:type="dxa"/>
          </w:tblCellMar>
        </w:tblPrEx>
        <w:trPr>
          <w:trHeight w:val="296" w:hRule="atLeast"/>
        </w:trPr>
        <w:tc>
          <w:tcPr>
            <w:tcW w:w="1580" w:type="dxa"/>
            <w:tcBorders>
              <w:top w:val="single" w:color="auto" w:sz="4" w:space="0"/>
              <w:left w:val="single" w:color="auto" w:sz="4" w:space="0"/>
              <w:bottom w:val="single" w:color="auto" w:sz="4" w:space="0"/>
              <w:right w:val="single" w:color="auto" w:sz="4" w:space="0"/>
            </w:tcBorders>
            <w:vAlign w:val="top"/>
          </w:tcPr>
          <w:p w14:paraId="4849EC3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医学类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78F3AA4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AI医学研究员</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2E43E97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3F95AABF">
        <w:tblPrEx>
          <w:tblCellMar>
            <w:top w:w="0" w:type="dxa"/>
            <w:left w:w="108" w:type="dxa"/>
            <w:bottom w:w="0" w:type="dxa"/>
            <w:right w:w="108" w:type="dxa"/>
          </w:tblCellMar>
        </w:tblPrEx>
        <w:trPr>
          <w:trHeight w:val="296" w:hRule="atLeast"/>
        </w:trPr>
        <w:tc>
          <w:tcPr>
            <w:tcW w:w="1580" w:type="dxa"/>
            <w:vMerge w:val="restart"/>
            <w:tcBorders>
              <w:top w:val="single" w:color="auto" w:sz="4" w:space="0"/>
              <w:left w:val="single" w:color="auto" w:sz="4" w:space="0"/>
              <w:bottom w:val="single" w:color="auto" w:sz="4" w:space="0"/>
              <w:right w:val="single" w:color="auto" w:sz="4" w:space="0"/>
            </w:tcBorders>
            <w:vAlign w:val="top"/>
          </w:tcPr>
          <w:p w14:paraId="0B9391A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工程类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6CD5099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实施工程师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4320CB2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235748A6">
        <w:tblPrEx>
          <w:tblCellMar>
            <w:top w:w="0" w:type="dxa"/>
            <w:left w:w="108" w:type="dxa"/>
            <w:bottom w:w="0" w:type="dxa"/>
            <w:right w:w="108" w:type="dxa"/>
          </w:tblCellMar>
        </w:tblPrEx>
        <w:trPr>
          <w:trHeight w:val="29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45AC283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4EBE674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技术工程师-计算网络</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48D6C1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793F7919">
        <w:tblPrEx>
          <w:tblCellMar>
            <w:top w:w="0" w:type="dxa"/>
            <w:left w:w="108" w:type="dxa"/>
            <w:bottom w:w="0" w:type="dxa"/>
            <w:right w:w="108" w:type="dxa"/>
          </w:tblCellMar>
        </w:tblPrEx>
        <w:trPr>
          <w:trHeight w:val="32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3955BA6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48A8B0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工程深化设计师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3A59BDC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56CE5B0B">
        <w:tblPrEx>
          <w:tblCellMar>
            <w:top w:w="0" w:type="dxa"/>
            <w:left w:w="108" w:type="dxa"/>
            <w:bottom w:w="0" w:type="dxa"/>
            <w:right w:w="108" w:type="dxa"/>
          </w:tblCellMar>
        </w:tblPrEx>
        <w:trPr>
          <w:trHeight w:val="30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432097E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17A066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工程设计师</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6A5CAC6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543ED3D1">
        <w:tblPrEx>
          <w:tblCellMar>
            <w:top w:w="0" w:type="dxa"/>
            <w:left w:w="108" w:type="dxa"/>
            <w:bottom w:w="0" w:type="dxa"/>
            <w:right w:w="108" w:type="dxa"/>
          </w:tblCellMar>
        </w:tblPrEx>
        <w:trPr>
          <w:trHeight w:val="326" w:hRule="atLeast"/>
        </w:trPr>
        <w:tc>
          <w:tcPr>
            <w:tcW w:w="1580" w:type="dxa"/>
            <w:vMerge w:val="restart"/>
            <w:tcBorders>
              <w:top w:val="single" w:color="auto" w:sz="4" w:space="0"/>
              <w:left w:val="single" w:color="auto" w:sz="4" w:space="0"/>
              <w:bottom w:val="single" w:color="auto" w:sz="4" w:space="0"/>
              <w:right w:val="single" w:color="auto" w:sz="4" w:space="0"/>
            </w:tcBorders>
            <w:vAlign w:val="top"/>
          </w:tcPr>
          <w:p w14:paraId="19E1CA8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交付类</w:t>
            </w: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19C2B19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项目经理-医疗方向</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1B05890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r w14:paraId="652FC010">
        <w:tblPrEx>
          <w:tblCellMar>
            <w:top w:w="0" w:type="dxa"/>
            <w:left w:w="108" w:type="dxa"/>
            <w:bottom w:w="0" w:type="dxa"/>
            <w:right w:w="108" w:type="dxa"/>
          </w:tblCellMar>
        </w:tblPrEx>
        <w:trPr>
          <w:trHeight w:val="316" w:hRule="atLeast"/>
        </w:trPr>
        <w:tc>
          <w:tcPr>
            <w:tcW w:w="1580" w:type="dxa"/>
            <w:vMerge w:val="continue"/>
            <w:tcBorders>
              <w:top w:val="single" w:color="auto" w:sz="4" w:space="0"/>
              <w:left w:val="single" w:color="auto" w:sz="4" w:space="0"/>
              <w:bottom w:val="single" w:color="auto" w:sz="4" w:space="0"/>
              <w:right w:val="single" w:color="auto" w:sz="4" w:space="0"/>
            </w:tcBorders>
            <w:vAlign w:val="top"/>
          </w:tcPr>
          <w:p w14:paraId="2BA9591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p>
        </w:tc>
        <w:tc>
          <w:tcPr>
            <w:tcW w:w="4231" w:type="dxa"/>
            <w:tcBorders>
              <w:top w:val="single" w:color="auto" w:sz="4" w:space="0"/>
              <w:left w:val="single" w:color="auto" w:sz="4" w:space="0"/>
              <w:bottom w:val="single" w:color="auto" w:sz="4" w:space="0"/>
              <w:right w:val="single" w:color="auto" w:sz="4" w:space="0"/>
            </w:tcBorders>
            <w:shd w:val="clear" w:color="auto" w:fill="auto"/>
            <w:vAlign w:val="top"/>
          </w:tcPr>
          <w:p w14:paraId="05BC773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交付项目经理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top"/>
          </w:tcPr>
          <w:p w14:paraId="57B34D0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微软雅黑" w:hAnsi="微软雅黑" w:eastAsia="微软雅黑" w:cs="微软雅黑"/>
                <w:kern w:val="0"/>
                <w:sz w:val="18"/>
                <w:szCs w:val="18"/>
                <w:lang w:val="en-US" w:eastAsia="zh-CN" w:bidi="ar"/>
              </w:rPr>
            </w:pPr>
            <w:r>
              <w:rPr>
                <w:rFonts w:hint="eastAsia" w:ascii="微软雅黑" w:hAnsi="微软雅黑" w:eastAsia="微软雅黑" w:cs="微软雅黑"/>
                <w:kern w:val="0"/>
                <w:sz w:val="18"/>
                <w:szCs w:val="18"/>
                <w:lang w:val="en-US" w:eastAsia="zh-CN" w:bidi="ar"/>
              </w:rPr>
              <w:t>合肥</w:t>
            </w:r>
          </w:p>
        </w:tc>
      </w:tr>
    </w:tbl>
    <w:p w14:paraId="512F238D">
      <w:pPr>
        <w:rPr>
          <w:rFonts w:ascii="微软雅黑" w:hAnsi="微软雅黑" w:eastAsia="微软雅黑"/>
          <w:b/>
        </w:rPr>
      </w:pPr>
      <w:r>
        <w:rPr>
          <w:rFonts w:hint="eastAsia" w:ascii="微软雅黑" w:hAnsi="微软雅黑" w:eastAsia="微软雅黑"/>
          <w:b/>
        </w:rPr>
        <w:t>更多岗位可登录</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HYPERLINK "https://iflytek.zhiye.com/" </w:instrText>
      </w:r>
      <w:r>
        <w:rPr>
          <w:rFonts w:hint="eastAsia" w:ascii="微软雅黑" w:hAnsi="微软雅黑" w:eastAsia="微软雅黑" w:cs="微软雅黑"/>
          <w:sz w:val="24"/>
          <w:szCs w:val="24"/>
        </w:rPr>
        <w:fldChar w:fldCharType="separate"/>
      </w:r>
      <w:r>
        <w:rPr>
          <w:rStyle w:val="10"/>
          <w:rFonts w:hint="eastAsia" w:ascii="微软雅黑" w:hAnsi="微软雅黑" w:eastAsia="微软雅黑" w:cs="微软雅黑"/>
          <w:sz w:val="24"/>
          <w:szCs w:val="24"/>
        </w:rPr>
        <w:t>iflytek.zhiye.com</w:t>
      </w:r>
      <w:r>
        <w:rPr>
          <w:rFonts w:hint="eastAsia" w:ascii="微软雅黑" w:hAnsi="微软雅黑" w:eastAsia="微软雅黑" w:cs="微软雅黑"/>
          <w:sz w:val="24"/>
          <w:szCs w:val="24"/>
        </w:rPr>
        <w:fldChar w:fldCharType="end"/>
      </w:r>
      <w:r>
        <w:rPr>
          <w:rFonts w:hint="eastAsia" w:ascii="微软雅黑" w:hAnsi="微软雅黑" w:eastAsia="微软雅黑" w:cs="微软雅黑"/>
          <w:sz w:val="24"/>
          <w:szCs w:val="24"/>
          <w:lang w:eastAsia="zh-CN"/>
        </w:rPr>
        <w:t>，</w:t>
      </w:r>
      <w:r>
        <w:rPr>
          <w:rFonts w:hint="eastAsia" w:ascii="微软雅黑" w:hAnsi="微软雅黑" w:eastAsia="微软雅黑"/>
          <w:b/>
        </w:rPr>
        <w:t>点击“</w:t>
      </w:r>
      <w:r>
        <w:rPr>
          <w:rFonts w:hint="eastAsia" w:ascii="微软雅黑" w:hAnsi="微软雅黑" w:eastAsia="微软雅黑"/>
          <w:b/>
          <w:lang w:val="en-US" w:eastAsia="zh-CN"/>
        </w:rPr>
        <w:t>校园招聘</w:t>
      </w:r>
      <w:r>
        <w:rPr>
          <w:rFonts w:hint="eastAsia" w:ascii="微软雅黑" w:hAnsi="微软雅黑" w:eastAsia="微软雅黑"/>
          <w:b/>
        </w:rPr>
        <w:t>”</w:t>
      </w:r>
      <w:r>
        <w:rPr>
          <w:rFonts w:hint="eastAsia" w:ascii="微软雅黑" w:hAnsi="微软雅黑" w:eastAsia="微软雅黑"/>
          <w:b/>
          <w:lang w:val="en-US" w:eastAsia="zh-CN"/>
        </w:rPr>
        <w:t>板块</w:t>
      </w:r>
      <w:r>
        <w:rPr>
          <w:rFonts w:hint="eastAsia" w:ascii="微软雅黑" w:hAnsi="微软雅黑" w:eastAsia="微软雅黑"/>
          <w:b/>
        </w:rPr>
        <w:t>查看</w:t>
      </w:r>
    </w:p>
    <w:p w14:paraId="447A24DC">
      <w:pPr>
        <w:ind w:left="420" w:hanging="420"/>
        <w:rPr>
          <w:rFonts w:ascii="微软雅黑" w:hAnsi="微软雅黑" w:eastAsia="微软雅黑" w:cs="宋体"/>
          <w:b/>
          <w:color w:val="000000" w:themeColor="text1"/>
          <w:kern w:val="0"/>
          <w:sz w:val="24"/>
          <w:szCs w:val="24"/>
          <w14:textFill>
            <w14:solidFill>
              <w14:schemeClr w14:val="tx1"/>
            </w14:solidFill>
          </w14:textFill>
        </w:rPr>
      </w:pPr>
      <w:r>
        <w:rPr>
          <w:rFonts w:hint="eastAsia" w:ascii="微软雅黑" w:hAnsi="微软雅黑" w:eastAsia="微软雅黑" w:cs="宋体"/>
          <w:b/>
          <w:color w:val="000000" w:themeColor="text1"/>
          <w:kern w:val="0"/>
          <w:sz w:val="24"/>
          <w:szCs w:val="24"/>
          <w14:textFill>
            <w14:solidFill>
              <w14:schemeClr w14:val="tx1"/>
            </w14:solidFill>
          </w14:textFill>
        </w:rPr>
        <w:t>四、招聘流程</w:t>
      </w:r>
    </w:p>
    <w:p w14:paraId="1157312E">
      <w:pPr>
        <w:widowControl/>
        <w:shd w:val="clear" w:color="auto" w:fill="FFFFFF"/>
        <w:spacing w:line="360" w:lineRule="auto"/>
        <w:ind w:firstLine="480" w:firstLineChars="200"/>
        <w:jc w:val="left"/>
        <w:rPr>
          <w:rFonts w:hint="eastAsia"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14:textFill>
            <w14:solidFill>
              <w14:schemeClr w14:val="tx1"/>
            </w14:solidFill>
          </w14:textFill>
        </w:rPr>
        <w:t>网申/内推：即日起</w:t>
      </w:r>
    </w:p>
    <w:p w14:paraId="5DE32E6C">
      <w:pPr>
        <w:widowControl/>
        <w:shd w:val="clear" w:color="auto" w:fill="FFFFFF"/>
        <w:spacing w:line="360" w:lineRule="auto"/>
        <w:ind w:firstLine="480" w:firstLineChars="200"/>
        <w:jc w:val="left"/>
        <w:rPr>
          <w:rFonts w:hint="eastAsia"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14:textFill>
            <w14:solidFill>
              <w14:schemeClr w14:val="tx1"/>
            </w14:solidFill>
          </w14:textFill>
        </w:rPr>
        <w:t>测评：即日起，简历初筛通过的同学将会收到相应岗位的测评邀请，请在规定时间内完成，详情请查看邮件和短信通知</w:t>
      </w:r>
    </w:p>
    <w:p w14:paraId="3F6154DA">
      <w:pPr>
        <w:widowControl/>
        <w:shd w:val="clear" w:color="auto" w:fill="FFFFFF"/>
        <w:spacing w:line="360" w:lineRule="auto"/>
        <w:ind w:firstLine="480" w:firstLineChars="200"/>
        <w:jc w:val="left"/>
        <w:rPr>
          <w:rFonts w:hint="eastAsia"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14:textFill>
            <w14:solidFill>
              <w14:schemeClr w14:val="tx1"/>
            </w14:solidFill>
          </w14:textFill>
        </w:rPr>
        <w:t>笔试：8月2日起，部分岗位需要完成线上笔试，笔试每周一场，测评通过的同学将会收到笔试通知，详情请查看邮件和短信通知</w:t>
      </w:r>
    </w:p>
    <w:p w14:paraId="7401C735">
      <w:pPr>
        <w:widowControl/>
        <w:shd w:val="clear" w:color="auto" w:fill="FFFFFF"/>
        <w:spacing w:line="360" w:lineRule="auto"/>
        <w:ind w:firstLine="480" w:firstLineChars="200"/>
        <w:jc w:val="left"/>
        <w:rPr>
          <w:rFonts w:hint="eastAsia"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14:textFill>
            <w14:solidFill>
              <w14:schemeClr w14:val="tx1"/>
            </w14:solidFill>
          </w14:textFill>
        </w:rPr>
        <w:t>面试：8月起开启线上面试（部分岗位有AI面试），8-10月部分城市和学校将举办线下站点面试</w:t>
      </w:r>
    </w:p>
    <w:p w14:paraId="63E4C0DB">
      <w:pPr>
        <w:widowControl/>
        <w:shd w:val="clear" w:color="auto" w:fill="FFFFFF"/>
        <w:spacing w:line="360" w:lineRule="auto"/>
        <w:ind w:firstLine="480" w:firstLineChars="200"/>
        <w:jc w:val="left"/>
        <w:rPr>
          <w:rFonts w:hint="eastAsia"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意向书/</w:t>
      </w:r>
      <w:r>
        <w:rPr>
          <w:rFonts w:hint="eastAsia" w:ascii="微软雅黑" w:hAnsi="微软雅黑" w:eastAsia="微软雅黑" w:cs="宋体"/>
          <w:color w:val="000000" w:themeColor="text1"/>
          <w:kern w:val="0"/>
          <w:sz w:val="24"/>
          <w:szCs w:val="24"/>
          <w14:textFill>
            <w14:solidFill>
              <w14:schemeClr w14:val="tx1"/>
            </w14:solidFill>
          </w14:textFill>
        </w:rPr>
        <w:t>offer发放：9月起</w:t>
      </w:r>
    </w:p>
    <w:p w14:paraId="74FDAE0E">
      <w:pPr>
        <w:widowControl/>
        <w:shd w:val="clear" w:color="auto" w:fill="FFFFFF"/>
        <w:spacing w:line="360" w:lineRule="auto"/>
        <w:ind w:firstLine="480" w:firstLineChars="200"/>
        <w:jc w:val="left"/>
        <w:rPr>
          <w:rFonts w:hint="eastAsia"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14:textFill>
            <w14:solidFill>
              <w14:schemeClr w14:val="tx1"/>
            </w14:solidFill>
          </w14:textFill>
        </w:rPr>
        <w:t>*具体以实际通知时间为准</w:t>
      </w:r>
    </w:p>
    <w:p w14:paraId="7621A9C4">
      <w:pPr>
        <w:widowControl/>
        <w:shd w:val="clear" w:color="auto" w:fill="FFFFFF"/>
        <w:spacing w:line="360" w:lineRule="auto"/>
        <w:ind w:firstLine="420" w:firstLineChars="200"/>
        <w:jc w:val="left"/>
        <w:rPr>
          <w:rFonts w:hint="eastAsia" w:ascii="微软雅黑" w:hAnsi="微软雅黑" w:eastAsia="微软雅黑" w:cs="宋体"/>
          <w:color w:val="000000" w:themeColor="text1"/>
          <w:kern w:val="0"/>
          <w:szCs w:val="21"/>
          <w14:textFill>
            <w14:solidFill>
              <w14:schemeClr w14:val="tx1"/>
            </w14:solidFill>
          </w14:textFill>
        </w:rPr>
      </w:pPr>
      <w:r>
        <w:rPr>
          <w:rFonts w:hint="eastAsia" w:ascii="微软雅黑" w:hAnsi="微软雅黑" w:eastAsia="微软雅黑" w:cs="宋体"/>
          <w:color w:val="000000" w:themeColor="text1"/>
          <w:kern w:val="0"/>
          <w:szCs w:val="21"/>
          <w14:textFill>
            <w14:solidFill>
              <w14:schemeClr w14:val="tx1"/>
            </w14:solidFill>
          </w14:textFill>
        </w:rPr>
        <w:t>注</w:t>
      </w:r>
      <w:r>
        <w:rPr>
          <w:rFonts w:hint="eastAsia" w:ascii="微软雅黑" w:hAnsi="微软雅黑" w:eastAsia="微软雅黑" w:cs="宋体"/>
          <w:color w:val="000000" w:themeColor="text1"/>
          <w:kern w:val="0"/>
          <w:sz w:val="24"/>
          <w:szCs w:val="24"/>
          <w14:textFill>
            <w14:solidFill>
              <w14:schemeClr w14:val="tx1"/>
            </w14:solidFill>
          </w14:textFill>
        </w:rPr>
        <w:t>：</w:t>
      </w:r>
      <w:r>
        <w:rPr>
          <w:rFonts w:hint="eastAsia" w:ascii="微软雅黑" w:hAnsi="微软雅黑" w:eastAsia="微软雅黑" w:cs="宋体"/>
          <w:color w:val="000000" w:themeColor="text1"/>
          <w:kern w:val="0"/>
          <w:szCs w:val="21"/>
          <w14:textFill>
            <w14:solidFill>
              <w14:schemeClr w14:val="tx1"/>
            </w14:solidFill>
          </w14:textFill>
        </w:rPr>
        <w:t>如有任何问题，可留言至</w:t>
      </w:r>
      <w:r>
        <w:rPr>
          <w:rFonts w:hint="eastAsia" w:ascii="微软雅黑" w:hAnsi="微软雅黑" w:eastAsia="微软雅黑" w:cs="宋体"/>
          <w:color w:val="000000" w:themeColor="text1"/>
          <w:kern w:val="0"/>
          <w:szCs w:val="21"/>
          <w:lang w:val="en-US" w:eastAsia="zh-CN"/>
          <w14:textFill>
            <w14:solidFill>
              <w14:schemeClr w14:val="tx1"/>
            </w14:solidFill>
          </w14:textFill>
        </w:rPr>
        <w:t>校招组邮箱</w:t>
      </w:r>
      <w:r>
        <w:rPr>
          <w:rFonts w:hint="eastAsia" w:ascii="微软雅黑" w:hAnsi="微软雅黑" w:eastAsia="微软雅黑" w:cs="宋体"/>
          <w:color w:val="000000" w:themeColor="text1"/>
          <w:kern w:val="0"/>
          <w:szCs w:val="21"/>
          <w14:textFill>
            <w14:solidFill>
              <w14:schemeClr w14:val="tx1"/>
            </w14:solidFill>
          </w14:textFill>
        </w:rPr>
        <w:fldChar w:fldCharType="begin"/>
      </w:r>
      <w:r>
        <w:rPr>
          <w:rFonts w:hint="eastAsia" w:ascii="微软雅黑" w:hAnsi="微软雅黑" w:eastAsia="微软雅黑" w:cs="宋体"/>
          <w:color w:val="000000" w:themeColor="text1"/>
          <w:kern w:val="0"/>
          <w:szCs w:val="21"/>
          <w14:textFill>
            <w14:solidFill>
              <w14:schemeClr w14:val="tx1"/>
            </w14:solidFill>
          </w14:textFill>
        </w:rPr>
        <w:instrText xml:space="preserve"> HYPERLINK "mailto:campus@ifytek.com" </w:instrText>
      </w:r>
      <w:r>
        <w:rPr>
          <w:rFonts w:hint="eastAsia" w:ascii="微软雅黑" w:hAnsi="微软雅黑" w:eastAsia="微软雅黑" w:cs="宋体"/>
          <w:color w:val="000000" w:themeColor="text1"/>
          <w:kern w:val="0"/>
          <w:szCs w:val="21"/>
          <w14:textFill>
            <w14:solidFill>
              <w14:schemeClr w14:val="tx1"/>
            </w14:solidFill>
          </w14:textFill>
        </w:rPr>
        <w:fldChar w:fldCharType="separate"/>
      </w:r>
      <w:r>
        <w:rPr>
          <w:rStyle w:val="10"/>
          <w:rFonts w:hint="eastAsia" w:ascii="微软雅黑" w:hAnsi="微软雅黑" w:eastAsia="微软雅黑" w:cs="宋体"/>
          <w:kern w:val="0"/>
          <w:szCs w:val="21"/>
        </w:rPr>
        <w:t>campus@ifytek.com</w:t>
      </w:r>
      <w:r>
        <w:rPr>
          <w:rFonts w:hint="eastAsia" w:ascii="微软雅黑" w:hAnsi="微软雅黑" w:eastAsia="微软雅黑" w:cs="宋体"/>
          <w:color w:val="000000" w:themeColor="text1"/>
          <w:kern w:val="0"/>
          <w:szCs w:val="21"/>
          <w14:textFill>
            <w14:solidFill>
              <w14:schemeClr w14:val="tx1"/>
            </w14:solidFill>
          </w14:textFill>
        </w:rPr>
        <w:fldChar w:fldCharType="end"/>
      </w:r>
    </w:p>
    <w:p w14:paraId="1BD9CCDA">
      <w:pPr>
        <w:rPr>
          <w:rFonts w:ascii="微软雅黑" w:hAnsi="微软雅黑" w:eastAsia="微软雅黑" w:cs="宋体"/>
          <w:b/>
          <w:color w:val="000000" w:themeColor="text1"/>
          <w:kern w:val="0"/>
          <w:sz w:val="24"/>
          <w:szCs w:val="24"/>
          <w14:textFill>
            <w14:solidFill>
              <w14:schemeClr w14:val="tx1"/>
            </w14:solidFill>
          </w14:textFill>
        </w:rPr>
      </w:pPr>
      <w:r>
        <w:rPr>
          <w:rFonts w:hint="eastAsia" w:ascii="微软雅黑" w:hAnsi="微软雅黑" w:eastAsia="微软雅黑" w:cs="宋体"/>
          <w:b/>
          <w:color w:val="000000" w:themeColor="text1"/>
          <w:kern w:val="0"/>
          <w:sz w:val="24"/>
          <w:szCs w:val="24"/>
          <w14:textFill>
            <w14:solidFill>
              <w14:schemeClr w14:val="tx1"/>
            </w14:solidFill>
          </w14:textFill>
        </w:rPr>
        <w:t>五</w:t>
      </w:r>
      <w:r>
        <w:rPr>
          <w:rFonts w:ascii="微软雅黑" w:hAnsi="微软雅黑" w:eastAsia="微软雅黑" w:cs="宋体"/>
          <w:b/>
          <w:color w:val="000000" w:themeColor="text1"/>
          <w:kern w:val="0"/>
          <w:sz w:val="24"/>
          <w:szCs w:val="24"/>
          <w14:textFill>
            <w14:solidFill>
              <w14:schemeClr w14:val="tx1"/>
            </w14:solidFill>
          </w14:textFill>
        </w:rPr>
        <w:t>、</w:t>
      </w:r>
      <w:r>
        <w:rPr>
          <w:rFonts w:hint="eastAsia" w:ascii="微软雅黑" w:hAnsi="微软雅黑" w:eastAsia="微软雅黑" w:cs="宋体"/>
          <w:b/>
          <w:color w:val="000000" w:themeColor="text1"/>
          <w:kern w:val="0"/>
          <w:sz w:val="24"/>
          <w:szCs w:val="24"/>
          <w14:textFill>
            <w14:solidFill>
              <w14:schemeClr w14:val="tx1"/>
            </w14:solidFill>
          </w14:textFill>
        </w:rPr>
        <w:t>职业发展</w:t>
      </w:r>
    </w:p>
    <w:p w14:paraId="0F3B11F9">
      <w:pPr>
        <w:widowControl/>
        <w:shd w:val="clear" w:color="auto" w:fill="FFFFFF"/>
        <w:spacing w:line="360" w:lineRule="auto"/>
        <w:ind w:firstLine="480" w:firstLineChars="200"/>
        <w:jc w:val="left"/>
        <w:rPr>
          <w:rFonts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14:textFill>
            <w14:solidFill>
              <w14:schemeClr w14:val="tx1"/>
            </w14:solidFill>
          </w14:textFill>
        </w:rPr>
        <w:t>科大讯飞规范的企业管理体系和晋升机制有助于丰富和助力员工职业生涯发展。公司注重员工的培养，有完善公平的内部提升制度，目前讯飞正处于快速发展时期，需要大批优秀的人才，此时加入讯飞正是最好时机。</w:t>
      </w:r>
    </w:p>
    <w:tbl>
      <w:tblPr>
        <w:tblStyle w:val="5"/>
        <w:tblW w:w="0" w:type="auto"/>
        <w:tblInd w:w="0" w:type="dxa"/>
        <w:tblLayout w:type="autofit"/>
        <w:tblCellMar>
          <w:top w:w="0" w:type="dxa"/>
          <w:left w:w="108" w:type="dxa"/>
          <w:bottom w:w="0" w:type="dxa"/>
          <w:right w:w="108" w:type="dxa"/>
        </w:tblCellMar>
      </w:tblPr>
      <w:tblGrid>
        <w:gridCol w:w="2605"/>
        <w:gridCol w:w="7290"/>
      </w:tblGrid>
      <w:tr w14:paraId="61443F0B">
        <w:tblPrEx>
          <w:tblCellMar>
            <w:top w:w="0" w:type="dxa"/>
            <w:left w:w="108" w:type="dxa"/>
            <w:bottom w:w="0" w:type="dxa"/>
            <w:right w:w="108" w:type="dxa"/>
          </w:tblCellMar>
        </w:tblPrEx>
        <w:tc>
          <w:tcPr>
            <w:tcW w:w="2605" w:type="dxa"/>
            <w:tcBorders>
              <w:top w:val="single" w:color="auto" w:sz="4" w:space="0"/>
              <w:left w:val="single" w:color="auto" w:sz="4" w:space="0"/>
              <w:bottom w:val="single" w:color="auto" w:sz="4" w:space="0"/>
              <w:right w:val="single" w:color="auto" w:sz="4" w:space="0"/>
            </w:tcBorders>
            <w:shd w:val="clear" w:color="auto" w:fill="auto"/>
            <w:vAlign w:val="center"/>
          </w:tcPr>
          <w:p w14:paraId="13D4E830">
            <w:pPr>
              <w:widowControl/>
              <w:spacing w:line="360" w:lineRule="auto"/>
              <w:ind w:right="265" w:rightChars="126"/>
              <w:rPr>
                <w:rFonts w:ascii="微软雅黑" w:hAnsi="微软雅黑" w:eastAsia="微软雅黑" w:cs="黑体"/>
                <w:b/>
                <w:bCs/>
                <w:color w:val="000000" w:themeColor="text1"/>
                <w:kern w:val="0"/>
                <w:sz w:val="20"/>
                <w:szCs w:val="20"/>
                <w14:textFill>
                  <w14:solidFill>
                    <w14:schemeClr w14:val="tx1"/>
                  </w14:solidFill>
                </w14:textFill>
              </w:rPr>
            </w:pPr>
            <w:r>
              <w:rPr>
                <w:rFonts w:hint="eastAsia" w:ascii="微软雅黑" w:hAnsi="微软雅黑" w:eastAsia="微软雅黑" w:cs="黑体"/>
                <w:b/>
                <w:bCs/>
                <w:color w:val="000000" w:themeColor="text1"/>
                <w:kern w:val="0"/>
                <w:sz w:val="20"/>
                <w:szCs w:val="20"/>
                <w14:textFill>
                  <w14:solidFill>
                    <w14:schemeClr w14:val="tx1"/>
                  </w14:solidFill>
                </w14:textFill>
              </w:rPr>
              <w:t>完善的员工发展机制</w:t>
            </w:r>
          </w:p>
        </w:tc>
        <w:tc>
          <w:tcPr>
            <w:tcW w:w="7290" w:type="dxa"/>
            <w:tcBorders>
              <w:top w:val="single" w:color="auto" w:sz="4" w:space="0"/>
              <w:left w:val="single" w:color="auto" w:sz="4" w:space="0"/>
              <w:bottom w:val="single" w:color="auto" w:sz="4" w:space="0"/>
              <w:right w:val="single" w:color="auto" w:sz="4" w:space="0"/>
            </w:tcBorders>
            <w:shd w:val="clear" w:color="auto" w:fill="auto"/>
            <w:vAlign w:val="center"/>
          </w:tcPr>
          <w:p w14:paraId="67FB051E">
            <w:pPr>
              <w:widowControl/>
              <w:spacing w:line="360" w:lineRule="auto"/>
              <w:rPr>
                <w:rFonts w:ascii="微软雅黑" w:hAnsi="微软雅黑" w:eastAsia="微软雅黑" w:cs="黑体"/>
                <w:color w:val="000000" w:themeColor="text1"/>
                <w:kern w:val="0"/>
                <w:sz w:val="20"/>
                <w:szCs w:val="20"/>
                <w14:textFill>
                  <w14:solidFill>
                    <w14:schemeClr w14:val="tx1"/>
                  </w14:solidFill>
                </w14:textFill>
              </w:rPr>
            </w:pPr>
            <w:r>
              <w:rPr>
                <w:rFonts w:hint="eastAsia" w:ascii="微软雅黑" w:hAnsi="微软雅黑" w:eastAsia="微软雅黑" w:cs="黑体"/>
                <w:color w:val="000000" w:themeColor="text1"/>
                <w:kern w:val="0"/>
                <w:sz w:val="20"/>
                <w:szCs w:val="20"/>
                <w14:textFill>
                  <w14:solidFill>
                    <w14:schemeClr w14:val="tx1"/>
                  </w14:solidFill>
                </w14:textFill>
              </w:rPr>
              <w:t>科大讯飞从制度上保证了校招生的多通道发展，共同打造员工职业发展体系，建立了员工管理和专业“双通道”的职业发展体系。</w:t>
            </w:r>
          </w:p>
        </w:tc>
      </w:tr>
      <w:tr w14:paraId="7C2829F0">
        <w:tblPrEx>
          <w:tblCellMar>
            <w:top w:w="0" w:type="dxa"/>
            <w:left w:w="108" w:type="dxa"/>
            <w:bottom w:w="0" w:type="dxa"/>
            <w:right w:w="108" w:type="dxa"/>
          </w:tblCellMar>
        </w:tblPrEx>
        <w:tc>
          <w:tcPr>
            <w:tcW w:w="2605" w:type="dxa"/>
            <w:tcBorders>
              <w:top w:val="single" w:color="auto" w:sz="4" w:space="0"/>
              <w:left w:val="single" w:color="auto" w:sz="4" w:space="0"/>
              <w:bottom w:val="single" w:color="auto" w:sz="4" w:space="0"/>
              <w:right w:val="single" w:color="auto" w:sz="4" w:space="0"/>
            </w:tcBorders>
            <w:shd w:val="clear" w:color="auto" w:fill="auto"/>
            <w:vAlign w:val="center"/>
          </w:tcPr>
          <w:p w14:paraId="7B4E71C3">
            <w:pPr>
              <w:widowControl/>
              <w:spacing w:line="360" w:lineRule="auto"/>
              <w:ind w:right="265" w:rightChars="126"/>
              <w:rPr>
                <w:rFonts w:ascii="微软雅黑" w:hAnsi="微软雅黑" w:eastAsia="微软雅黑" w:cs="黑体"/>
                <w:b/>
                <w:bCs/>
                <w:color w:val="000000" w:themeColor="text1"/>
                <w:kern w:val="0"/>
                <w:sz w:val="20"/>
                <w:szCs w:val="20"/>
                <w14:textFill>
                  <w14:solidFill>
                    <w14:schemeClr w14:val="tx1"/>
                  </w14:solidFill>
                </w14:textFill>
              </w:rPr>
            </w:pPr>
            <w:r>
              <w:rPr>
                <w:rFonts w:hint="eastAsia" w:ascii="微软雅黑" w:hAnsi="微软雅黑" w:eastAsia="微软雅黑" w:cs="黑体"/>
                <w:b/>
                <w:bCs/>
                <w:color w:val="000000" w:themeColor="text1"/>
                <w:kern w:val="0"/>
                <w:sz w:val="20"/>
                <w:szCs w:val="20"/>
                <w14:textFill>
                  <w14:solidFill>
                    <w14:schemeClr w14:val="tx1"/>
                  </w14:solidFill>
                </w14:textFill>
              </w:rPr>
              <w:t>讯飞人才发展中心</w:t>
            </w:r>
          </w:p>
        </w:tc>
        <w:tc>
          <w:tcPr>
            <w:tcW w:w="7290" w:type="dxa"/>
            <w:tcBorders>
              <w:top w:val="single" w:color="auto" w:sz="4" w:space="0"/>
              <w:left w:val="single" w:color="auto" w:sz="4" w:space="0"/>
              <w:bottom w:val="single" w:color="auto" w:sz="4" w:space="0"/>
              <w:right w:val="single" w:color="auto" w:sz="4" w:space="0"/>
            </w:tcBorders>
            <w:shd w:val="clear" w:color="auto" w:fill="auto"/>
            <w:vAlign w:val="center"/>
          </w:tcPr>
          <w:p w14:paraId="586CC469">
            <w:pPr>
              <w:widowControl/>
              <w:spacing w:line="360" w:lineRule="auto"/>
              <w:rPr>
                <w:rFonts w:ascii="微软雅黑" w:hAnsi="微软雅黑" w:eastAsia="微软雅黑" w:cs="黑体"/>
                <w:color w:val="000000" w:themeColor="text1"/>
                <w:kern w:val="0"/>
                <w:sz w:val="20"/>
                <w:szCs w:val="20"/>
                <w14:textFill>
                  <w14:solidFill>
                    <w14:schemeClr w14:val="tx1"/>
                  </w14:solidFill>
                </w14:textFill>
              </w:rPr>
            </w:pPr>
            <w:r>
              <w:rPr>
                <w:rFonts w:hint="eastAsia" w:ascii="微软雅黑" w:hAnsi="微软雅黑" w:eastAsia="微软雅黑" w:cs="黑体"/>
                <w:color w:val="000000" w:themeColor="text1"/>
                <w:kern w:val="0"/>
                <w:sz w:val="20"/>
                <w:szCs w:val="20"/>
                <w14:textFill>
                  <w14:solidFill>
                    <w14:schemeClr w14:val="tx1"/>
                  </w14:solidFill>
                </w14:textFill>
              </w:rPr>
              <w:t>目前，讯飞人才发展中心已通过赋能和专项培养项目开发内部师资队伍100余人，师资均由集团经理及以上中高层管理干部、核心业务骨干担任；自主开发精品课程</w:t>
            </w:r>
            <w:r>
              <w:rPr>
                <w:rFonts w:hint="eastAsia" w:ascii="微软雅黑" w:hAnsi="微软雅黑" w:eastAsia="微软雅黑" w:cs="黑体"/>
                <w:color w:val="000000" w:themeColor="text1"/>
                <w:kern w:val="0"/>
                <w:sz w:val="20"/>
                <w:szCs w:val="20"/>
                <w:lang w:val="en-US" w:eastAsia="zh-CN"/>
                <w14:textFill>
                  <w14:solidFill>
                    <w14:schemeClr w14:val="tx1"/>
                  </w14:solidFill>
                </w14:textFill>
              </w:rPr>
              <w:t>近百</w:t>
            </w:r>
            <w:r>
              <w:rPr>
                <w:rFonts w:hint="eastAsia" w:ascii="微软雅黑" w:hAnsi="微软雅黑" w:eastAsia="微软雅黑" w:cs="黑体"/>
                <w:color w:val="000000" w:themeColor="text1"/>
                <w:kern w:val="0"/>
                <w:sz w:val="20"/>
                <w:szCs w:val="20"/>
                <w14:textFill>
                  <w14:solidFill>
                    <w14:schemeClr w14:val="tx1"/>
                  </w14:solidFill>
                </w14:textFill>
              </w:rPr>
              <w:t>余门，包括领导力课程、关键专业岗位课程、学习技术课程等；针对业务、组织和团队问题研发类各类工作坊以及管理干部培养项目，并不断迭代优化。</w:t>
            </w:r>
          </w:p>
        </w:tc>
      </w:tr>
      <w:tr w14:paraId="7C0124A8">
        <w:tblPrEx>
          <w:tblCellMar>
            <w:top w:w="0" w:type="dxa"/>
            <w:left w:w="108" w:type="dxa"/>
            <w:bottom w:w="0" w:type="dxa"/>
            <w:right w:w="108" w:type="dxa"/>
          </w:tblCellMar>
        </w:tblPrEx>
        <w:tc>
          <w:tcPr>
            <w:tcW w:w="2605" w:type="dxa"/>
            <w:tcBorders>
              <w:top w:val="single" w:color="auto" w:sz="4" w:space="0"/>
              <w:left w:val="single" w:color="auto" w:sz="4" w:space="0"/>
              <w:bottom w:val="single" w:color="auto" w:sz="4" w:space="0"/>
              <w:right w:val="single" w:color="auto" w:sz="4" w:space="0"/>
            </w:tcBorders>
            <w:shd w:val="clear" w:color="auto" w:fill="auto"/>
            <w:vAlign w:val="center"/>
          </w:tcPr>
          <w:p w14:paraId="2E14ECBA">
            <w:pPr>
              <w:widowControl/>
              <w:spacing w:line="360" w:lineRule="auto"/>
              <w:ind w:right="265" w:rightChars="126"/>
              <w:rPr>
                <w:rFonts w:ascii="微软雅黑" w:hAnsi="微软雅黑" w:eastAsia="微软雅黑" w:cs="黑体"/>
                <w:b/>
                <w:bCs/>
                <w:color w:val="000000" w:themeColor="text1"/>
                <w:kern w:val="0"/>
                <w:sz w:val="20"/>
                <w:szCs w:val="20"/>
                <w14:textFill>
                  <w14:solidFill>
                    <w14:schemeClr w14:val="tx1"/>
                  </w14:solidFill>
                </w14:textFill>
              </w:rPr>
            </w:pPr>
            <w:r>
              <w:rPr>
                <w:rFonts w:hint="eastAsia" w:ascii="微软雅黑" w:hAnsi="微软雅黑" w:eastAsia="微软雅黑" w:cs="黑体"/>
                <w:b/>
                <w:bCs/>
                <w:color w:val="000000" w:themeColor="text1"/>
                <w:kern w:val="0"/>
                <w:sz w:val="20"/>
                <w:szCs w:val="20"/>
                <w14:textFill>
                  <w14:solidFill>
                    <w14:schemeClr w14:val="tx1"/>
                  </w14:solidFill>
                </w14:textFill>
              </w:rPr>
              <w:t>内部学习发展体系</w:t>
            </w:r>
          </w:p>
        </w:tc>
        <w:tc>
          <w:tcPr>
            <w:tcW w:w="7290" w:type="dxa"/>
            <w:tcBorders>
              <w:top w:val="single" w:color="auto" w:sz="4" w:space="0"/>
              <w:left w:val="single" w:color="auto" w:sz="4" w:space="0"/>
              <w:bottom w:val="single" w:color="auto" w:sz="4" w:space="0"/>
              <w:right w:val="single" w:color="auto" w:sz="4" w:space="0"/>
            </w:tcBorders>
            <w:shd w:val="clear" w:color="auto" w:fill="auto"/>
            <w:vAlign w:val="center"/>
          </w:tcPr>
          <w:p w14:paraId="3A727213">
            <w:pPr>
              <w:widowControl/>
              <w:spacing w:line="360" w:lineRule="auto"/>
              <w:rPr>
                <w:rFonts w:ascii="微软雅黑" w:hAnsi="微软雅黑" w:eastAsia="微软雅黑" w:cs="黑体"/>
                <w:color w:val="000000" w:themeColor="text1"/>
                <w:kern w:val="0"/>
                <w:sz w:val="20"/>
                <w:szCs w:val="20"/>
                <w14:textFill>
                  <w14:solidFill>
                    <w14:schemeClr w14:val="tx1"/>
                  </w14:solidFill>
                </w14:textFill>
              </w:rPr>
            </w:pPr>
            <w:r>
              <w:rPr>
                <w:rFonts w:hint="eastAsia" w:ascii="微软雅黑" w:hAnsi="微软雅黑" w:eastAsia="微软雅黑" w:cs="黑体"/>
                <w:color w:val="000000" w:themeColor="text1"/>
                <w:kern w:val="0"/>
                <w:sz w:val="20"/>
                <w:szCs w:val="20"/>
                <w14:textFill>
                  <w14:solidFill>
                    <w14:schemeClr w14:val="tx1"/>
                  </w14:solidFill>
                </w14:textFill>
              </w:rPr>
              <w:t>搭建有一整套在线学习平台，组建了完善的课程库、讲师库，如领导力培训、专业力培训、通用力培训、新员工融入培训等。</w:t>
            </w:r>
          </w:p>
        </w:tc>
      </w:tr>
      <w:tr w14:paraId="00FB1D45">
        <w:tblPrEx>
          <w:tblCellMar>
            <w:top w:w="0" w:type="dxa"/>
            <w:left w:w="108" w:type="dxa"/>
            <w:bottom w:w="0" w:type="dxa"/>
            <w:right w:w="108" w:type="dxa"/>
          </w:tblCellMar>
        </w:tblPrEx>
        <w:tc>
          <w:tcPr>
            <w:tcW w:w="2605" w:type="dxa"/>
            <w:tcBorders>
              <w:top w:val="single" w:color="auto" w:sz="4" w:space="0"/>
              <w:left w:val="single" w:color="auto" w:sz="4" w:space="0"/>
              <w:bottom w:val="single" w:color="auto" w:sz="4" w:space="0"/>
              <w:right w:val="single" w:color="auto" w:sz="4" w:space="0"/>
            </w:tcBorders>
            <w:shd w:val="clear" w:color="auto" w:fill="auto"/>
            <w:vAlign w:val="center"/>
          </w:tcPr>
          <w:p w14:paraId="7ACDB605">
            <w:pPr>
              <w:widowControl/>
              <w:spacing w:line="360" w:lineRule="auto"/>
              <w:ind w:right="265" w:rightChars="126"/>
              <w:rPr>
                <w:rFonts w:ascii="微软雅黑" w:hAnsi="微软雅黑" w:eastAsia="微软雅黑" w:cs="黑体"/>
                <w:b/>
                <w:bCs/>
                <w:color w:val="000000" w:themeColor="text1"/>
                <w:kern w:val="0"/>
                <w:sz w:val="20"/>
                <w:szCs w:val="20"/>
                <w14:textFill>
                  <w14:solidFill>
                    <w14:schemeClr w14:val="tx1"/>
                  </w14:solidFill>
                </w14:textFill>
              </w:rPr>
            </w:pPr>
            <w:r>
              <w:rPr>
                <w:rFonts w:hint="eastAsia" w:ascii="微软雅黑" w:hAnsi="微软雅黑" w:eastAsia="微软雅黑" w:cs="黑体"/>
                <w:b/>
                <w:bCs/>
                <w:color w:val="000000" w:themeColor="text1"/>
                <w:kern w:val="0"/>
                <w:sz w:val="20"/>
                <w:szCs w:val="20"/>
                <w14:textFill>
                  <w14:solidFill>
                    <w14:schemeClr w14:val="tx1"/>
                  </w14:solidFill>
                </w14:textFill>
              </w:rPr>
              <w:t>全面的新员工培训体系</w:t>
            </w:r>
          </w:p>
        </w:tc>
        <w:tc>
          <w:tcPr>
            <w:tcW w:w="7290" w:type="dxa"/>
            <w:tcBorders>
              <w:top w:val="single" w:color="auto" w:sz="4" w:space="0"/>
              <w:left w:val="single" w:color="auto" w:sz="4" w:space="0"/>
              <w:bottom w:val="single" w:color="auto" w:sz="4" w:space="0"/>
              <w:right w:val="single" w:color="auto" w:sz="4" w:space="0"/>
            </w:tcBorders>
            <w:shd w:val="clear" w:color="auto" w:fill="auto"/>
            <w:vAlign w:val="center"/>
          </w:tcPr>
          <w:p w14:paraId="069C6F82">
            <w:pPr>
              <w:widowControl/>
              <w:spacing w:line="360" w:lineRule="auto"/>
              <w:rPr>
                <w:rFonts w:ascii="微软雅黑" w:hAnsi="微软雅黑" w:eastAsia="微软雅黑" w:cs="黑体"/>
                <w:color w:val="000000" w:themeColor="text1"/>
                <w:kern w:val="0"/>
                <w:sz w:val="20"/>
                <w:szCs w:val="20"/>
                <w14:textFill>
                  <w14:solidFill>
                    <w14:schemeClr w14:val="tx1"/>
                  </w14:solidFill>
                </w14:textFill>
              </w:rPr>
            </w:pPr>
            <w:r>
              <w:rPr>
                <w:rFonts w:hint="eastAsia" w:ascii="微软雅黑" w:hAnsi="微软雅黑" w:eastAsia="微软雅黑" w:cs="黑体"/>
                <w:color w:val="000000" w:themeColor="text1"/>
                <w:kern w:val="0"/>
                <w:sz w:val="20"/>
                <w:szCs w:val="20"/>
                <w14:textFill>
                  <w14:solidFill>
                    <w14:schemeClr w14:val="tx1"/>
                  </w14:solidFill>
                </w14:textFill>
              </w:rPr>
              <w:t>包含了应届生培养、社招新员工培养、通用力培训、专业力培训、领导力培训等五大板块。</w:t>
            </w:r>
          </w:p>
        </w:tc>
      </w:tr>
    </w:tbl>
    <w:p w14:paraId="6E49F4A2">
      <w:pPr>
        <w:pStyle w:val="14"/>
        <w:widowControl/>
        <w:shd w:val="clear" w:color="auto" w:fill="FFFFFF"/>
        <w:spacing w:line="360" w:lineRule="auto"/>
        <w:ind w:left="420" w:hanging="420" w:firstLineChars="0"/>
        <w:jc w:val="left"/>
        <w:rPr>
          <w:rFonts w:hint="eastAsia" w:ascii="微软雅黑" w:hAnsi="微软雅黑" w:eastAsia="微软雅黑" w:cs="宋体"/>
          <w:b/>
          <w:color w:val="000000" w:themeColor="text1"/>
          <w:kern w:val="0"/>
          <w:sz w:val="24"/>
          <w:szCs w:val="24"/>
          <w14:textFill>
            <w14:solidFill>
              <w14:schemeClr w14:val="tx1"/>
            </w14:solidFill>
          </w14:textFill>
        </w:rPr>
      </w:pPr>
    </w:p>
    <w:p w14:paraId="1026EFCB">
      <w:pPr>
        <w:pStyle w:val="14"/>
        <w:widowControl/>
        <w:shd w:val="clear" w:color="auto" w:fill="FFFFFF"/>
        <w:spacing w:line="360" w:lineRule="auto"/>
        <w:ind w:left="420" w:hanging="420" w:firstLineChars="0"/>
        <w:jc w:val="left"/>
        <w:rPr>
          <w:rFonts w:ascii="微软雅黑" w:hAnsi="微软雅黑" w:eastAsia="微软雅黑" w:cs="宋体"/>
          <w:b/>
          <w:color w:val="000000" w:themeColor="text1"/>
          <w:kern w:val="0"/>
          <w:sz w:val="24"/>
          <w:szCs w:val="24"/>
          <w14:textFill>
            <w14:solidFill>
              <w14:schemeClr w14:val="tx1"/>
            </w14:solidFill>
          </w14:textFill>
        </w:rPr>
      </w:pPr>
      <w:r>
        <w:rPr>
          <w:rFonts w:hint="eastAsia" w:ascii="微软雅黑" w:hAnsi="微软雅黑" w:eastAsia="微软雅黑" w:cs="宋体"/>
          <w:b/>
          <w:color w:val="000000" w:themeColor="text1"/>
          <w:kern w:val="0"/>
          <w:sz w:val="24"/>
          <w:szCs w:val="24"/>
          <w14:textFill>
            <w14:solidFill>
              <w14:schemeClr w14:val="tx1"/>
            </w14:solidFill>
          </w14:textFill>
        </w:rPr>
        <w:t>六</w:t>
      </w:r>
      <w:r>
        <w:rPr>
          <w:rFonts w:ascii="微软雅黑" w:hAnsi="微软雅黑" w:eastAsia="微软雅黑" w:cs="宋体"/>
          <w:b/>
          <w:color w:val="000000" w:themeColor="text1"/>
          <w:kern w:val="0"/>
          <w:sz w:val="24"/>
          <w:szCs w:val="24"/>
          <w14:textFill>
            <w14:solidFill>
              <w14:schemeClr w14:val="tx1"/>
            </w14:solidFill>
          </w14:textFill>
        </w:rPr>
        <w:t>、</w:t>
      </w:r>
      <w:r>
        <w:rPr>
          <w:rFonts w:hint="eastAsia" w:ascii="微软雅黑" w:hAnsi="微软雅黑" w:eastAsia="微软雅黑" w:cs="宋体"/>
          <w:b/>
          <w:color w:val="000000" w:themeColor="text1"/>
          <w:kern w:val="0"/>
          <w:sz w:val="24"/>
          <w:szCs w:val="24"/>
          <w14:textFill>
            <w14:solidFill>
              <w14:schemeClr w14:val="tx1"/>
            </w14:solidFill>
          </w14:textFill>
        </w:rPr>
        <w:t>我在讯飞</w:t>
      </w:r>
    </w:p>
    <w:p w14:paraId="4A47DCA9">
      <w:pPr>
        <w:widowControl/>
        <w:shd w:val="clear" w:color="auto" w:fill="FFFFFF"/>
        <w:spacing w:line="360" w:lineRule="auto"/>
        <w:jc w:val="left"/>
        <w:rPr>
          <w:rFonts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 颇具竞争力的薪资+绩效奖金，</w:t>
      </w:r>
      <w:r>
        <w:rPr>
          <w:rFonts w:hint="eastAsia" w:ascii="微软雅黑" w:hAnsi="微软雅黑" w:eastAsia="微软雅黑" w:cs="宋体"/>
          <w:color w:val="000000" w:themeColor="text1"/>
          <w:kern w:val="0"/>
          <w:sz w:val="24"/>
          <w:szCs w:val="24"/>
          <w14:textFill>
            <w14:solidFill>
              <w14:schemeClr w14:val="tx1"/>
            </w14:solidFill>
          </w14:textFill>
        </w:rPr>
        <w:t>五险一金和补充商业保险</w:t>
      </w:r>
      <w:r>
        <w:rPr>
          <w:rFonts w:hint="eastAsia" w:ascii="微软雅黑" w:hAnsi="微软雅黑" w:eastAsia="微软雅黑" w:cs="宋体"/>
          <w:color w:val="000000" w:themeColor="text1"/>
          <w:kern w:val="0"/>
          <w:sz w:val="24"/>
          <w:szCs w:val="24"/>
          <w:lang w:eastAsia="zh-CN"/>
          <w14:textFill>
            <w14:solidFill>
              <w14:schemeClr w14:val="tx1"/>
            </w14:solidFill>
          </w14:textFill>
        </w:rPr>
        <w:t>，</w:t>
      </w: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丰厚的年终奖金，</w:t>
      </w:r>
      <w:r>
        <w:rPr>
          <w:rFonts w:hint="eastAsia" w:ascii="微软雅黑" w:hAnsi="微软雅黑" w:eastAsia="微软雅黑" w:cs="宋体"/>
          <w:color w:val="000000" w:themeColor="text1"/>
          <w:kern w:val="0"/>
          <w:sz w:val="24"/>
          <w:szCs w:val="24"/>
          <w14:textFill>
            <w14:solidFill>
              <w14:schemeClr w14:val="tx1"/>
            </w14:solidFill>
          </w14:textFill>
        </w:rPr>
        <w:t>全方位的福利为你保驾护航。</w:t>
      </w:r>
    </w:p>
    <w:p w14:paraId="57D4F3DD">
      <w:pPr>
        <w:widowControl/>
        <w:shd w:val="clear" w:color="auto" w:fill="FFFFFF"/>
        <w:spacing w:line="360" w:lineRule="auto"/>
        <w:jc w:val="left"/>
        <w:rPr>
          <w:rFonts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 xml:space="preserve">- </w:t>
      </w:r>
      <w:r>
        <w:rPr>
          <w:rFonts w:hint="eastAsia" w:ascii="微软雅黑" w:hAnsi="微软雅黑" w:eastAsia="微软雅黑" w:cs="宋体"/>
          <w:color w:val="000000" w:themeColor="text1"/>
          <w:kern w:val="0"/>
          <w:sz w:val="24"/>
          <w:szCs w:val="24"/>
          <w14:textFill>
            <w14:solidFill>
              <w14:schemeClr w14:val="tx1"/>
            </w14:solidFill>
          </w14:textFill>
        </w:rPr>
        <w:t>假日礼品及婚产假礼金，为你提供更好的保障与支持；花式食堂、酒店式公寓、交通补贴、市内班车，多方面帮你减轻生活成本</w:t>
      </w:r>
      <w:r>
        <w:rPr>
          <w:rFonts w:ascii="微软雅黑" w:hAnsi="微软雅黑" w:eastAsia="微软雅黑" w:cs="宋体"/>
          <w:color w:val="000000" w:themeColor="text1"/>
          <w:kern w:val="0"/>
          <w:sz w:val="24"/>
          <w:szCs w:val="24"/>
          <w14:textFill>
            <w14:solidFill>
              <w14:schemeClr w14:val="tx1"/>
            </w14:solidFill>
          </w14:textFill>
        </w:rPr>
        <w:t>；</w:t>
      </w:r>
      <w:r>
        <w:rPr>
          <w:rFonts w:hint="eastAsia" w:ascii="微软雅黑" w:hAnsi="微软雅黑" w:eastAsia="微软雅黑" w:cs="宋体"/>
          <w:color w:val="000000" w:themeColor="text1"/>
          <w:kern w:val="0"/>
          <w:sz w:val="24"/>
          <w:szCs w:val="24"/>
          <w14:textFill>
            <w14:solidFill>
              <w14:schemeClr w14:val="tx1"/>
            </w14:solidFill>
          </w14:textFill>
        </w:rPr>
        <w:t>飞飞育儿园，园区内部即可托管baby，让你工作家庭两不误。</w:t>
      </w:r>
    </w:p>
    <w:p w14:paraId="2CC73E05">
      <w:pPr>
        <w:widowControl/>
        <w:shd w:val="clear" w:color="auto" w:fill="FFFFFF"/>
        <w:spacing w:line="360" w:lineRule="auto"/>
        <w:jc w:val="left"/>
        <w:rPr>
          <w:rFonts w:ascii="微软雅黑" w:hAnsi="微软雅黑" w:eastAsia="微软雅黑" w:cs="宋体"/>
          <w:color w:val="000000" w:themeColor="text1"/>
          <w:kern w:val="0"/>
          <w:sz w:val="24"/>
          <w:szCs w:val="24"/>
          <w14:textFill>
            <w14:solidFill>
              <w14:schemeClr w14:val="tx1"/>
            </w14:solidFill>
          </w14:textFill>
        </w:rPr>
      </w:pPr>
      <w:r>
        <w:rPr>
          <w:rFonts w:hint="eastAsia" w:ascii="微软雅黑" w:hAnsi="微软雅黑" w:eastAsia="微软雅黑" w:cs="宋体"/>
          <w:color w:val="000000" w:themeColor="text1"/>
          <w:kern w:val="0"/>
          <w:sz w:val="24"/>
          <w:szCs w:val="24"/>
          <w:lang w:val="en-US" w:eastAsia="zh-CN"/>
          <w14:textFill>
            <w14:solidFill>
              <w14:schemeClr w14:val="tx1"/>
            </w14:solidFill>
          </w14:textFill>
        </w:rPr>
        <w:t xml:space="preserve">- </w:t>
      </w:r>
      <w:r>
        <w:rPr>
          <w:rFonts w:hint="eastAsia" w:ascii="微软雅黑" w:hAnsi="微软雅黑" w:eastAsia="微软雅黑" w:cs="宋体"/>
          <w:color w:val="000000" w:themeColor="text1"/>
          <w:kern w:val="0"/>
          <w:sz w:val="24"/>
          <w:szCs w:val="24"/>
          <w14:textFill>
            <w14:solidFill>
              <w14:schemeClr w14:val="tx1"/>
            </w14:solidFill>
          </w14:textFill>
        </w:rPr>
        <w:t>超大园区、聆听湖、员工步道、开放空间，顶配的工作环境，让你工作舒心顺心</w:t>
      </w:r>
      <w:r>
        <w:rPr>
          <w:rFonts w:ascii="微软雅黑" w:hAnsi="微软雅黑" w:eastAsia="微软雅黑" w:cs="宋体"/>
          <w:color w:val="000000" w:themeColor="text1"/>
          <w:kern w:val="0"/>
          <w:sz w:val="24"/>
          <w:szCs w:val="24"/>
          <w14:textFill>
            <w14:solidFill>
              <w14:schemeClr w14:val="tx1"/>
            </w14:solidFill>
          </w14:textFill>
        </w:rPr>
        <w:t>；</w:t>
      </w:r>
      <w:r>
        <w:rPr>
          <w:rFonts w:hint="eastAsia" w:ascii="微软雅黑" w:hAnsi="微软雅黑" w:eastAsia="微软雅黑" w:cs="宋体"/>
          <w:color w:val="000000" w:themeColor="text1"/>
          <w:kern w:val="0"/>
          <w:sz w:val="24"/>
          <w:szCs w:val="24"/>
          <w14:textFill>
            <w14:solidFill>
              <w14:schemeClr w14:val="tx1"/>
            </w14:solidFill>
          </w14:textFill>
        </w:rPr>
        <w:t>瑜伽房、羽毛球馆、台球桌、单车房，300</w:t>
      </w:r>
      <w:r>
        <w:rPr>
          <w:rFonts w:ascii="微软雅黑" w:hAnsi="微软雅黑" w:eastAsia="微软雅黑" w:cs="宋体"/>
          <w:color w:val="000000" w:themeColor="text1"/>
          <w:kern w:val="0"/>
          <w:sz w:val="24"/>
          <w:szCs w:val="24"/>
          <w14:textFill>
            <w14:solidFill>
              <w14:schemeClr w14:val="tx1"/>
            </w14:solidFill>
          </w14:textFill>
        </w:rPr>
        <w:t>0</w:t>
      </w:r>
      <w:r>
        <w:rPr>
          <w:rFonts w:hint="eastAsia" w:ascii="微软雅黑" w:hAnsi="微软雅黑" w:eastAsia="微软雅黑" w:cs="宋体"/>
          <w:color w:val="000000" w:themeColor="text1"/>
          <w:kern w:val="0"/>
          <w:sz w:val="24"/>
          <w:szCs w:val="24"/>
          <w14:textFill>
            <w14:solidFill>
              <w14:schemeClr w14:val="tx1"/>
            </w14:solidFill>
          </w14:textFill>
        </w:rPr>
        <w:t>余册藏书的图书馆，健康生活，快乐成；AI与DJ碰撞的草地音乐节、有梗有料的员工吐槽大会，更有司庆、年会等活动为你生活添色彩。</w:t>
      </w:r>
    </w:p>
    <w:p w14:paraId="0F075C5C">
      <w:pPr>
        <w:widowControl/>
        <w:shd w:val="clear" w:color="auto" w:fill="FFFFFF"/>
        <w:spacing w:line="360" w:lineRule="auto"/>
        <w:ind w:firstLine="480" w:firstLineChars="200"/>
        <w:jc w:val="center"/>
        <w:rPr>
          <w:rFonts w:hint="eastAsia" w:ascii="微软雅黑" w:hAnsi="微软雅黑" w:eastAsia="微软雅黑" w:cs="宋体"/>
          <w:b/>
          <w:kern w:val="0"/>
          <w:sz w:val="24"/>
          <w:szCs w:val="24"/>
          <w:highlight w:val="none"/>
        </w:rPr>
      </w:pPr>
      <w:r>
        <w:rPr>
          <w:rFonts w:ascii="微软雅黑" w:hAnsi="微软雅黑" w:eastAsia="微软雅黑" w:cs="宋体"/>
          <w:b/>
          <w:kern w:val="0"/>
          <w:sz w:val="24"/>
          <w:szCs w:val="24"/>
        </w:rPr>
        <w:t>点击链接，查看</w:t>
      </w:r>
      <w:r>
        <w:rPr>
          <w:rFonts w:hint="eastAsia" w:ascii="微软雅黑" w:hAnsi="微软雅黑" w:eastAsia="微软雅黑" w:cs="宋体"/>
          <w:b/>
          <w:kern w:val="0"/>
          <w:sz w:val="24"/>
          <w:szCs w:val="24"/>
          <w:lang w:val="en-US" w:eastAsia="zh-CN"/>
        </w:rPr>
        <w:t>27秋招</w:t>
      </w:r>
      <w:r>
        <w:rPr>
          <w:rFonts w:hint="eastAsia" w:ascii="微软雅黑" w:hAnsi="微软雅黑" w:eastAsia="微软雅黑" w:cs="宋体"/>
          <w:b/>
          <w:kern w:val="0"/>
          <w:sz w:val="24"/>
          <w:szCs w:val="24"/>
          <w:highlight w:val="none"/>
          <w:lang w:val="en-US" w:eastAsia="zh-CN"/>
        </w:rPr>
        <w:t>Q&amp;A</w:t>
      </w:r>
      <w:r>
        <w:rPr>
          <w:rFonts w:hint="eastAsia" w:ascii="微软雅黑" w:hAnsi="微软雅黑" w:eastAsia="微软雅黑" w:cs="宋体"/>
          <w:b/>
          <w:kern w:val="0"/>
          <w:sz w:val="24"/>
          <w:szCs w:val="24"/>
          <w:highlight w:val="none"/>
        </w:rPr>
        <w:t>：</w:t>
      </w:r>
      <w:r>
        <w:rPr>
          <w:rFonts w:hint="eastAsia" w:ascii="微软雅黑" w:hAnsi="微软雅黑" w:eastAsia="微软雅黑" w:cs="宋体"/>
          <w:b/>
          <w:kern w:val="0"/>
          <w:sz w:val="24"/>
          <w:szCs w:val="24"/>
          <w:highlight w:val="none"/>
        </w:rPr>
        <w:fldChar w:fldCharType="begin"/>
      </w:r>
      <w:r>
        <w:rPr>
          <w:rFonts w:hint="eastAsia" w:ascii="微软雅黑" w:hAnsi="微软雅黑" w:eastAsia="微软雅黑" w:cs="宋体"/>
          <w:b/>
          <w:kern w:val="0"/>
          <w:sz w:val="24"/>
          <w:szCs w:val="24"/>
          <w:highlight w:val="none"/>
        </w:rPr>
        <w:instrText xml:space="preserve"> HYPERLINK "https://mp.weixin.qq.com/s/6uYQvkzh_r9i17RWctzozQ" </w:instrText>
      </w:r>
      <w:r>
        <w:rPr>
          <w:rFonts w:hint="eastAsia" w:ascii="微软雅黑" w:hAnsi="微软雅黑" w:eastAsia="微软雅黑" w:cs="宋体"/>
          <w:b/>
          <w:kern w:val="0"/>
          <w:sz w:val="24"/>
          <w:szCs w:val="24"/>
          <w:highlight w:val="none"/>
        </w:rPr>
        <w:fldChar w:fldCharType="separate"/>
      </w:r>
      <w:r>
        <w:rPr>
          <w:rStyle w:val="10"/>
          <w:rFonts w:hint="eastAsia" w:ascii="微软雅黑" w:hAnsi="微软雅黑" w:eastAsia="微软雅黑" w:cs="宋体"/>
          <w:b/>
          <w:kern w:val="0"/>
          <w:sz w:val="24"/>
          <w:szCs w:val="24"/>
          <w:highlight w:val="none"/>
        </w:rPr>
        <w:t>https://mp.weixin.qq.com/s/6uYQvkzh_r9i17RWctzozQ</w:t>
      </w:r>
      <w:r>
        <w:rPr>
          <w:rFonts w:hint="eastAsia" w:ascii="微软雅黑" w:hAnsi="微软雅黑" w:eastAsia="微软雅黑" w:cs="宋体"/>
          <w:b/>
          <w:kern w:val="0"/>
          <w:sz w:val="24"/>
          <w:szCs w:val="24"/>
          <w:highlight w:val="none"/>
        </w:rPr>
        <w:fldChar w:fldCharType="end"/>
      </w:r>
    </w:p>
    <w:p w14:paraId="4C937263">
      <w:pPr>
        <w:widowControl/>
        <w:shd w:val="clear" w:color="auto" w:fill="FFFFFF"/>
        <w:spacing w:line="360" w:lineRule="auto"/>
        <w:ind w:firstLine="480" w:firstLineChars="200"/>
        <w:jc w:val="center"/>
        <w:rPr>
          <w:rFonts w:hint="eastAsia" w:ascii="微软雅黑" w:hAnsi="微软雅黑" w:eastAsia="微软雅黑" w:cs="宋体"/>
          <w:b/>
          <w:kern w:val="0"/>
          <w:sz w:val="24"/>
          <w:szCs w:val="24"/>
          <w:highlight w:val="none"/>
        </w:rPr>
      </w:pPr>
    </w:p>
    <w:p w14:paraId="05C54D72">
      <w:pPr>
        <w:widowControl/>
        <w:shd w:val="clear" w:color="auto" w:fill="FFFFFF"/>
        <w:spacing w:line="360" w:lineRule="auto"/>
        <w:jc w:val="center"/>
        <w:rPr>
          <w:rFonts w:hint="eastAsia" w:ascii="微软雅黑" w:hAnsi="微软雅黑" w:eastAsia="微软雅黑" w:cs="宋体"/>
          <w:b/>
          <w:bCs/>
          <w:lang w:eastAsia="zh-CN"/>
        </w:rPr>
      </w:pPr>
      <w:r>
        <w:rPr>
          <w:rFonts w:hint="eastAsia" w:ascii="微软雅黑" w:hAnsi="微软雅黑" w:eastAsia="微软雅黑" w:cs="宋体"/>
          <w:b/>
          <w:bCs/>
          <w:lang w:eastAsia="zh-CN"/>
        </w:rPr>
        <w:drawing>
          <wp:inline distT="0" distB="0" distL="114300" distR="114300">
            <wp:extent cx="3894455" cy="2820670"/>
            <wp:effectExtent l="0" t="0" r="6985" b="13970"/>
            <wp:docPr id="4" name="图片 4" descr="资源 2@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资源 2@2x"/>
                    <pic:cNvPicPr>
                      <a:picLocks noChangeAspect="1"/>
                    </pic:cNvPicPr>
                  </pic:nvPicPr>
                  <pic:blipFill>
                    <a:blip r:embed="rId5"/>
                    <a:stretch>
                      <a:fillRect/>
                    </a:stretch>
                  </pic:blipFill>
                  <pic:spPr>
                    <a:xfrm>
                      <a:off x="0" y="0"/>
                      <a:ext cx="3894455" cy="2820670"/>
                    </a:xfrm>
                    <a:prstGeom prst="rect">
                      <a:avLst/>
                    </a:prstGeom>
                  </pic:spPr>
                </pic:pic>
              </a:graphicData>
            </a:graphic>
          </wp:inline>
        </w:drawing>
      </w:r>
    </w:p>
    <w:sectPr>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E0OTE4NjZlOWY1NDA0ZDMzOTkyNzRlZGMzNWQ2OGQifQ=="/>
  </w:docVars>
  <w:rsids>
    <w:rsidRoot w:val="003527E6"/>
    <w:rsid w:val="000005A0"/>
    <w:rsid w:val="000012AE"/>
    <w:rsid w:val="000238A5"/>
    <w:rsid w:val="00036441"/>
    <w:rsid w:val="000545B8"/>
    <w:rsid w:val="00083864"/>
    <w:rsid w:val="000849AC"/>
    <w:rsid w:val="0009214B"/>
    <w:rsid w:val="000A0071"/>
    <w:rsid w:val="000A5655"/>
    <w:rsid w:val="000E1BFF"/>
    <w:rsid w:val="000F6665"/>
    <w:rsid w:val="00103335"/>
    <w:rsid w:val="0011398F"/>
    <w:rsid w:val="00135887"/>
    <w:rsid w:val="00136461"/>
    <w:rsid w:val="00140B61"/>
    <w:rsid w:val="0015330D"/>
    <w:rsid w:val="0018033C"/>
    <w:rsid w:val="00192D5E"/>
    <w:rsid w:val="001B2370"/>
    <w:rsid w:val="001F7BCC"/>
    <w:rsid w:val="002040E2"/>
    <w:rsid w:val="00223E91"/>
    <w:rsid w:val="0025481B"/>
    <w:rsid w:val="00260FEE"/>
    <w:rsid w:val="00265F31"/>
    <w:rsid w:val="00283BE4"/>
    <w:rsid w:val="002A0D32"/>
    <w:rsid w:val="002A6A22"/>
    <w:rsid w:val="002C1CCD"/>
    <w:rsid w:val="002C29D2"/>
    <w:rsid w:val="002C70BF"/>
    <w:rsid w:val="002D0143"/>
    <w:rsid w:val="002D3E34"/>
    <w:rsid w:val="002D7B90"/>
    <w:rsid w:val="002F4DF2"/>
    <w:rsid w:val="003417AE"/>
    <w:rsid w:val="00341903"/>
    <w:rsid w:val="003428FA"/>
    <w:rsid w:val="003527E6"/>
    <w:rsid w:val="00362B45"/>
    <w:rsid w:val="003B77B7"/>
    <w:rsid w:val="003C19AE"/>
    <w:rsid w:val="003E303D"/>
    <w:rsid w:val="003E4882"/>
    <w:rsid w:val="003E6C58"/>
    <w:rsid w:val="003E7F4E"/>
    <w:rsid w:val="00415CDC"/>
    <w:rsid w:val="00430BD7"/>
    <w:rsid w:val="004335D9"/>
    <w:rsid w:val="004476D7"/>
    <w:rsid w:val="0045416A"/>
    <w:rsid w:val="00461C96"/>
    <w:rsid w:val="00473E86"/>
    <w:rsid w:val="004C697F"/>
    <w:rsid w:val="004D488B"/>
    <w:rsid w:val="004F2450"/>
    <w:rsid w:val="00505DA2"/>
    <w:rsid w:val="00532BA7"/>
    <w:rsid w:val="00543945"/>
    <w:rsid w:val="00555320"/>
    <w:rsid w:val="00580534"/>
    <w:rsid w:val="005876D0"/>
    <w:rsid w:val="005A3ABE"/>
    <w:rsid w:val="005A3F7C"/>
    <w:rsid w:val="005A6966"/>
    <w:rsid w:val="005A713A"/>
    <w:rsid w:val="005A7519"/>
    <w:rsid w:val="005B69B5"/>
    <w:rsid w:val="005D5A33"/>
    <w:rsid w:val="005E278C"/>
    <w:rsid w:val="005F756C"/>
    <w:rsid w:val="00610228"/>
    <w:rsid w:val="00634C5A"/>
    <w:rsid w:val="00665B10"/>
    <w:rsid w:val="006760A8"/>
    <w:rsid w:val="006C3398"/>
    <w:rsid w:val="006D1537"/>
    <w:rsid w:val="006E2F90"/>
    <w:rsid w:val="006E65D0"/>
    <w:rsid w:val="00735320"/>
    <w:rsid w:val="007409B1"/>
    <w:rsid w:val="007808D5"/>
    <w:rsid w:val="007953BC"/>
    <w:rsid w:val="007C0D0F"/>
    <w:rsid w:val="007C7A08"/>
    <w:rsid w:val="00801B61"/>
    <w:rsid w:val="0081763D"/>
    <w:rsid w:val="0086381A"/>
    <w:rsid w:val="008641B6"/>
    <w:rsid w:val="0088477B"/>
    <w:rsid w:val="008A4C53"/>
    <w:rsid w:val="008B7C43"/>
    <w:rsid w:val="008C6964"/>
    <w:rsid w:val="008F1E5C"/>
    <w:rsid w:val="0090241A"/>
    <w:rsid w:val="00924453"/>
    <w:rsid w:val="009501FD"/>
    <w:rsid w:val="00976496"/>
    <w:rsid w:val="009A46CC"/>
    <w:rsid w:val="009B3589"/>
    <w:rsid w:val="009E0E15"/>
    <w:rsid w:val="009F1D17"/>
    <w:rsid w:val="00A20788"/>
    <w:rsid w:val="00A56CDD"/>
    <w:rsid w:val="00A87BD8"/>
    <w:rsid w:val="00A97833"/>
    <w:rsid w:val="00AC65A3"/>
    <w:rsid w:val="00AD6EAE"/>
    <w:rsid w:val="00B1104E"/>
    <w:rsid w:val="00B17E29"/>
    <w:rsid w:val="00B30235"/>
    <w:rsid w:val="00B31248"/>
    <w:rsid w:val="00B74314"/>
    <w:rsid w:val="00B754C8"/>
    <w:rsid w:val="00B97762"/>
    <w:rsid w:val="00BA5B09"/>
    <w:rsid w:val="00BE1A16"/>
    <w:rsid w:val="00BE3E5E"/>
    <w:rsid w:val="00BF58AA"/>
    <w:rsid w:val="00C03656"/>
    <w:rsid w:val="00C13E66"/>
    <w:rsid w:val="00C34333"/>
    <w:rsid w:val="00C57B07"/>
    <w:rsid w:val="00C6628B"/>
    <w:rsid w:val="00C703CC"/>
    <w:rsid w:val="00C73702"/>
    <w:rsid w:val="00C91642"/>
    <w:rsid w:val="00C937F1"/>
    <w:rsid w:val="00CB0463"/>
    <w:rsid w:val="00CB1DE7"/>
    <w:rsid w:val="00CC545A"/>
    <w:rsid w:val="00CC7A73"/>
    <w:rsid w:val="00CD1DE5"/>
    <w:rsid w:val="00CE3068"/>
    <w:rsid w:val="00CF6BFD"/>
    <w:rsid w:val="00D13E15"/>
    <w:rsid w:val="00D24418"/>
    <w:rsid w:val="00D34120"/>
    <w:rsid w:val="00D7561D"/>
    <w:rsid w:val="00D83F78"/>
    <w:rsid w:val="00D85E79"/>
    <w:rsid w:val="00D96B54"/>
    <w:rsid w:val="00DC09F8"/>
    <w:rsid w:val="00DC1032"/>
    <w:rsid w:val="00DC4726"/>
    <w:rsid w:val="00DC7156"/>
    <w:rsid w:val="00DD4B7C"/>
    <w:rsid w:val="00DE0674"/>
    <w:rsid w:val="00DF7041"/>
    <w:rsid w:val="00E01D9D"/>
    <w:rsid w:val="00E07519"/>
    <w:rsid w:val="00E21A12"/>
    <w:rsid w:val="00E23F43"/>
    <w:rsid w:val="00E746AE"/>
    <w:rsid w:val="00E8471A"/>
    <w:rsid w:val="00E86FCB"/>
    <w:rsid w:val="00E927F1"/>
    <w:rsid w:val="00E95445"/>
    <w:rsid w:val="00EA46D8"/>
    <w:rsid w:val="00EA492F"/>
    <w:rsid w:val="00EB2209"/>
    <w:rsid w:val="00EC562D"/>
    <w:rsid w:val="00ED31BA"/>
    <w:rsid w:val="00EE4783"/>
    <w:rsid w:val="00F01F29"/>
    <w:rsid w:val="00F32E0E"/>
    <w:rsid w:val="00F3783D"/>
    <w:rsid w:val="00F46FFD"/>
    <w:rsid w:val="00F54735"/>
    <w:rsid w:val="00F73082"/>
    <w:rsid w:val="00F82BCD"/>
    <w:rsid w:val="00F8714C"/>
    <w:rsid w:val="00F9153F"/>
    <w:rsid w:val="00FA3D01"/>
    <w:rsid w:val="00FA6D5E"/>
    <w:rsid w:val="00FB4338"/>
    <w:rsid w:val="00FE21C9"/>
    <w:rsid w:val="04253442"/>
    <w:rsid w:val="074D0A7B"/>
    <w:rsid w:val="0C475CE3"/>
    <w:rsid w:val="0C4E0FA5"/>
    <w:rsid w:val="0C5E795C"/>
    <w:rsid w:val="0D1758D6"/>
    <w:rsid w:val="0DE855D8"/>
    <w:rsid w:val="0E34631A"/>
    <w:rsid w:val="107E119A"/>
    <w:rsid w:val="116F2AE7"/>
    <w:rsid w:val="12A14EE0"/>
    <w:rsid w:val="187D6C17"/>
    <w:rsid w:val="1947594A"/>
    <w:rsid w:val="1ABF306F"/>
    <w:rsid w:val="1C04403E"/>
    <w:rsid w:val="1CB05A38"/>
    <w:rsid w:val="1EF51991"/>
    <w:rsid w:val="1F947477"/>
    <w:rsid w:val="26395046"/>
    <w:rsid w:val="273624D9"/>
    <w:rsid w:val="29810961"/>
    <w:rsid w:val="2B9A2C5F"/>
    <w:rsid w:val="2C4B2D78"/>
    <w:rsid w:val="2D771380"/>
    <w:rsid w:val="2F615DC4"/>
    <w:rsid w:val="340B5CFD"/>
    <w:rsid w:val="36AE1543"/>
    <w:rsid w:val="36C77679"/>
    <w:rsid w:val="3B6B16DC"/>
    <w:rsid w:val="3C254710"/>
    <w:rsid w:val="3C9A4D31"/>
    <w:rsid w:val="3E3A6AA9"/>
    <w:rsid w:val="3EC87209"/>
    <w:rsid w:val="402364A1"/>
    <w:rsid w:val="43321F87"/>
    <w:rsid w:val="43AE32B0"/>
    <w:rsid w:val="43FF02C7"/>
    <w:rsid w:val="46340CC8"/>
    <w:rsid w:val="46FA661A"/>
    <w:rsid w:val="489B059C"/>
    <w:rsid w:val="4B526D5A"/>
    <w:rsid w:val="4BCB42D8"/>
    <w:rsid w:val="4C5E5F3A"/>
    <w:rsid w:val="4CDE5054"/>
    <w:rsid w:val="4DEE671F"/>
    <w:rsid w:val="4F57601C"/>
    <w:rsid w:val="502018B8"/>
    <w:rsid w:val="504255AA"/>
    <w:rsid w:val="509B498D"/>
    <w:rsid w:val="509C7950"/>
    <w:rsid w:val="52712B22"/>
    <w:rsid w:val="55CB42A7"/>
    <w:rsid w:val="56145E9F"/>
    <w:rsid w:val="57771BD9"/>
    <w:rsid w:val="58874A4C"/>
    <w:rsid w:val="5969563F"/>
    <w:rsid w:val="596C4833"/>
    <w:rsid w:val="61C56D7D"/>
    <w:rsid w:val="623C00F8"/>
    <w:rsid w:val="62C03154"/>
    <w:rsid w:val="634F2200"/>
    <w:rsid w:val="672358AA"/>
    <w:rsid w:val="67C0101E"/>
    <w:rsid w:val="69002717"/>
    <w:rsid w:val="6A004521"/>
    <w:rsid w:val="6C3A6F3D"/>
    <w:rsid w:val="6E0B3B17"/>
    <w:rsid w:val="6E1B704F"/>
    <w:rsid w:val="7127226C"/>
    <w:rsid w:val="7317688E"/>
    <w:rsid w:val="75C66504"/>
    <w:rsid w:val="795A1939"/>
    <w:rsid w:val="7A4161EC"/>
    <w:rsid w:val="7B540A98"/>
    <w:rsid w:val="7D9A3002"/>
    <w:rsid w:val="7D9F0ABC"/>
    <w:rsid w:val="7DC16A93"/>
    <w:rsid w:val="7F392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22"/>
    <w:rPr>
      <w:b/>
      <w:bCs/>
    </w:rPr>
  </w:style>
  <w:style w:type="character" w:styleId="9">
    <w:name w:val="FollowedHyperlink"/>
    <w:basedOn w:val="7"/>
    <w:semiHidden/>
    <w:unhideWhenUsed/>
    <w:qFormat/>
    <w:uiPriority w:val="99"/>
    <w:rPr>
      <w:color w:val="800080"/>
      <w:u w:val="single"/>
    </w:rPr>
  </w:style>
  <w:style w:type="character" w:styleId="10">
    <w:name w:val="Hyperlink"/>
    <w:basedOn w:val="7"/>
    <w:semiHidden/>
    <w:unhideWhenUsed/>
    <w:qFormat/>
    <w:uiPriority w:val="99"/>
    <w:rPr>
      <w:color w:val="0000FF"/>
      <w:u w:val="single"/>
    </w:rPr>
  </w:style>
  <w:style w:type="character" w:customStyle="1" w:styleId="11">
    <w:name w:val="页眉 字符"/>
    <w:link w:val="3"/>
    <w:qFormat/>
    <w:uiPriority w:val="99"/>
    <w:rPr>
      <w:sz w:val="18"/>
      <w:szCs w:val="18"/>
    </w:rPr>
  </w:style>
  <w:style w:type="character" w:customStyle="1" w:styleId="12">
    <w:name w:val="页脚 字符"/>
    <w:link w:val="2"/>
    <w:qFormat/>
    <w:uiPriority w:val="99"/>
    <w:rPr>
      <w:sz w:val="18"/>
      <w:szCs w:val="18"/>
    </w:rPr>
  </w:style>
  <w:style w:type="paragraph" w:customStyle="1" w:styleId="13">
    <w:name w:val="列出段落1"/>
    <w:basedOn w:val="1"/>
    <w:qFormat/>
    <w:uiPriority w:val="34"/>
    <w:pPr>
      <w:widowControl/>
      <w:ind w:firstLine="420"/>
    </w:pPr>
    <w:rPr>
      <w:rFonts w:ascii="Times New Roman" w:hAnsi="Times New Roman"/>
      <w:kern w:val="0"/>
      <w:szCs w:val="21"/>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0B33D-3DD7-4665-A2AB-C83873BF39AC}">
  <ds:schemaRefs/>
</ds:datastoreItem>
</file>

<file path=docProps/app.xml><?xml version="1.0" encoding="utf-8"?>
<Properties xmlns="http://schemas.openxmlformats.org/officeDocument/2006/extended-properties" xmlns:vt="http://schemas.openxmlformats.org/officeDocument/2006/docPropsVTypes">
  <Template>Normal.dotm</Template>
  <Company>QXB CK_W1122H2_STD</Company>
  <Pages>6</Pages>
  <Words>1449</Words>
  <Characters>1569</Characters>
  <Lines>23</Lines>
  <Paragraphs>6</Paragraphs>
  <TotalTime>476</TotalTime>
  <ScaleCrop>false</ScaleCrop>
  <LinksUpToDate>false</LinksUpToDate>
  <CharactersWithSpaces>1602</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2023-08-01T10:10:00Z</dcterms:created>
  <dc:creator>admin</dc:creator>
  <cp:lastModifiedBy>zqgu6</cp:lastModifiedBy>
  <cp:lastPrinted>2023-08-01T10:12:00Z</cp:lastPrinted>
  <dcterms:modified xsi:type="dcterms:W3CDTF">2026-07-27T13:10:58Z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4BA48BC402604566B9B0371C657742A0_13</vt:lpwstr>
  </property>
  <property fmtid="{D5CDD505-2E9C-101B-9397-08002B2CF9AE}" pid="4" name="CWM14762580382411ef80002d3000002c30">
    <vt:lpwstr>CWMyQVVW+sFimlqC3z7U3UmM3DBZcX46u4YHWoi03rsadDOlXLe43VesUqUmCd8TNga9xIUaSrvyYv16dU3GH2Mbw==</vt:lpwstr>
  </property>
  <property fmtid="{D5CDD505-2E9C-101B-9397-08002B2CF9AE}" pid="5" name="KSOTemplateDocerSaveRecord">
    <vt:lpwstr>eyJoZGlkIjoiMTRkMGYwNDc0Mzg2N2E2ZTczZTI2YzMwOWViMGY0NjciLCJ1c2VySWQiOiI2MDQzOTIyNzAifQ==</vt:lpwstr>
  </property>
  <property fmtid="{D5CDD505-2E9C-101B-9397-08002B2CF9AE}" pid="6" name="CWM18ff8270661511f080007d9100007c91">
    <vt:lpwstr>CWMJAybzV6qUY1RKoGj1Ag2od9TTbcGsHrTA2zqmp0Ci/zRCQH03JcUwapiZ4J6zozjBmDYMtwA6QcHr7dXNOwV1A==</vt:lpwstr>
  </property>
  <property fmtid="{D5CDD505-2E9C-101B-9397-08002B2CF9AE}" pid="7" name="CWM658bf4b0221311f18000036400000364">
    <vt:lpwstr>CWMP5VBRvrsnp+SVOfTCsE0jI+N1XQ1FImiuO7zfSGtqw29A3VV8WoE4260G9trAT3Pt5D3D9uSYtixGA1fQ5mrIg==</vt:lpwstr>
  </property>
  <property fmtid="{D5CDD505-2E9C-101B-9397-08002B2CF9AE}" pid="8" name="CWMdf7690508bef11f18000454900004449">
    <vt:lpwstr>CWMa2Xg3L0sXYYJdr8Mii6995w2+GK9psOmc1OtVOSuVqWk9Ownz/4NOlE3URsF0zWylNsSiTkEy1sH2DdR5GTQTQ==</vt:lpwstr>
  </property>
  <property fmtid="{D5CDD505-2E9C-101B-9397-08002B2CF9AE}" pid="9" name="CWMe3518f809ab411f18000295f0000285f">
    <vt:lpwstr>CWMeItfL1RJnf/9CYwVkjKqnBgFH/xvrXos3vnBLyQeyng/0J4kpHjkeL5MCzbt1qVCe+fvdOf+Vub2uOflXYRzMg==</vt:lpwstr>
  </property>
</Properties>
</file>