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C05A2B">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方正小标宋简体" w:hAnsi="方正小标宋简体" w:eastAsia="方正小标宋简体" w:cs="方正小标宋简体"/>
          <w:sz w:val="32"/>
          <w:szCs w:val="40"/>
        </w:rPr>
      </w:pPr>
      <w:bookmarkStart w:id="0" w:name="_GoBack"/>
      <w:r>
        <w:rPr>
          <w:rFonts w:hint="eastAsia" w:ascii="方正小标宋简体" w:hAnsi="方正小标宋简体" w:eastAsia="方正小标宋简体" w:cs="方正小标宋简体"/>
          <w:sz w:val="32"/>
          <w:szCs w:val="40"/>
        </w:rPr>
        <w:t>中国核工业中原建设有限公司</w:t>
      </w:r>
    </w:p>
    <w:bookmarkEnd w:id="0"/>
    <w:p w14:paraId="5B2C69F0">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仿宋"/>
          <w:sz w:val="32"/>
          <w:szCs w:val="40"/>
        </w:rPr>
      </w:pPr>
      <w:r>
        <w:rPr>
          <w:rFonts w:hint="eastAsia" w:ascii="仿宋" w:hAnsi="仿宋" w:eastAsia="仿宋" w:cs="仿宋"/>
          <w:sz w:val="32"/>
          <w:szCs w:val="40"/>
        </w:rPr>
        <w:t>简称：中核中原建设（CNICEC）</w:t>
      </w:r>
    </w:p>
    <w:p w14:paraId="01603A2E">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40"/>
        </w:rPr>
      </w:pPr>
      <w:r>
        <w:rPr>
          <w:rFonts w:hint="eastAsia" w:ascii="仿宋" w:hAnsi="仿宋" w:eastAsia="仿宋" w:cs="仿宋"/>
          <w:sz w:val="32"/>
          <w:szCs w:val="40"/>
        </w:rPr>
        <w:t>中国核工业中原建设有限公司（以下简称“公司”）于1992年12月经国务院经贸办批准正式成立，1999年7月进入中国核工业建设集团公司。2018年，中国核工业集团公司与中国核工业建设集团公司实施重组，公司现为中核集团专业化上市公司中国核工业建设股份有限公司的成员单位之一。</w:t>
      </w:r>
    </w:p>
    <w:p w14:paraId="6E884D19">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40"/>
        </w:rPr>
      </w:pPr>
      <w:r>
        <w:rPr>
          <w:rFonts w:hint="eastAsia" w:ascii="仿宋" w:hAnsi="仿宋" w:eastAsia="仿宋" w:cs="仿宋"/>
          <w:sz w:val="32"/>
          <w:szCs w:val="40"/>
        </w:rPr>
        <w:t>公司具有建设部颁发的建筑工程施工、机电工程施工、公路工程施工总承包壹级资质，电力工程施工、石油化工工程施工、市政公用工程施工总承包贰级资质，环保工程、核工程、地基基础工程专业施工壹级资质，特种工程（特殊设备起重吊装）专业承包资质，建筑装修装饰工程、钢结构工程、消防设施、电子与智能化、桥梁、隧道、公路路面、公路路基工程专业承包贰级资质以及承装（修、试）电力设施许可证。（共19项）</w:t>
      </w:r>
    </w:p>
    <w:p w14:paraId="3FE79A22">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40"/>
        </w:rPr>
      </w:pPr>
      <w:r>
        <w:rPr>
          <w:rFonts w:hint="eastAsia" w:ascii="仿宋" w:hAnsi="仿宋" w:eastAsia="仿宋" w:cs="仿宋"/>
          <w:sz w:val="32"/>
          <w:szCs w:val="40"/>
        </w:rPr>
        <w:t>公司下设多个分/子公司，在全国各地以及境外多个国家承建了各类工程。先后完成巴基斯坦恰希玛核电站、秦山二期核电站等施工总承包任务及各类工业与民用建设工程，荣获国务院颁发的国家科学技术进步一等奖、中国建筑工程鲁班奖、全国市政金杯示范工程奖、奥运会鸟巢卓越贡献奖等多项荣誉。</w:t>
      </w:r>
    </w:p>
    <w:p w14:paraId="2AF51AF8">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40"/>
        </w:rPr>
      </w:pPr>
      <w:r>
        <w:rPr>
          <w:rFonts w:hint="eastAsia" w:ascii="仿宋" w:hAnsi="仿宋" w:eastAsia="仿宋" w:cs="仿宋"/>
          <w:sz w:val="32"/>
          <w:szCs w:val="40"/>
        </w:rPr>
        <w:t>公司取得了国家颁发的高新技术企业资格证书，北京市企业技术中心证书、中施企协AAA级企业信用证书，通过了北京市企业技术中心和ISO9000质量管理体系、环境管理体系和职业健康安全管理体系认证，通过工业化与信息化两化融合AA级认证。</w:t>
      </w:r>
    </w:p>
    <w:p w14:paraId="1D0FD0E7">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40"/>
        </w:rPr>
      </w:pPr>
      <w:r>
        <w:rPr>
          <w:rFonts w:hint="eastAsia" w:ascii="仿宋" w:hAnsi="仿宋" w:eastAsia="仿宋" w:cs="仿宋"/>
          <w:sz w:val="32"/>
          <w:szCs w:val="40"/>
        </w:rPr>
        <w:t>经过多年发展，公司现已成为我国核工程、国防部队工程，以及各类工业与民用建设工程领域里一支集投融资、建造为一体的骨干力量之一。</w:t>
      </w:r>
    </w:p>
    <w:p w14:paraId="1579857C">
      <w:pPr>
        <w:rPr>
          <w:rFonts w:ascii="黑体" w:hAnsi="黑体" w:eastAsia="黑体"/>
          <w:b/>
          <w:bCs/>
          <w:sz w:val="32"/>
          <w:szCs w:val="32"/>
        </w:rPr>
      </w:pPr>
      <w:r>
        <w:rPr>
          <w:rFonts w:hint="eastAsia" w:ascii="黑体" w:hAnsi="黑体" w:eastAsia="黑体"/>
          <w:b/>
          <w:bCs/>
          <w:sz w:val="32"/>
          <w:szCs w:val="32"/>
        </w:rPr>
        <w:t>招聘条件</w:t>
      </w:r>
    </w:p>
    <w:p w14:paraId="1BB9C708">
      <w:pPr>
        <w:pStyle w:val="4"/>
        <w:numPr>
          <w:ilvl w:val="0"/>
          <w:numId w:val="1"/>
        </w:numPr>
        <w:shd w:val="clear" w:color="auto" w:fill="FFFFFF"/>
        <w:spacing w:before="0" w:beforeAutospacing="0" w:after="0" w:afterAutospacing="0" w:line="560" w:lineRule="exact"/>
        <w:ind w:left="0"/>
        <w:jc w:val="both"/>
        <w:textAlignment w:val="baseline"/>
        <w:rPr>
          <w:rFonts w:ascii="仿宋" w:hAnsi="仿宋" w:eastAsia="仿宋"/>
          <w:color w:val="auto"/>
          <w:sz w:val="32"/>
          <w:szCs w:val="32"/>
        </w:rPr>
      </w:pPr>
      <w:r>
        <w:rPr>
          <w:rFonts w:hint="eastAsia" w:ascii="仿宋" w:hAnsi="仿宋" w:eastAsia="仿宋"/>
          <w:color w:val="auto"/>
          <w:sz w:val="32"/>
          <w:szCs w:val="32"/>
        </w:rPr>
        <w:t>统招全日制202</w:t>
      </w:r>
      <w:r>
        <w:rPr>
          <w:rFonts w:hint="eastAsia" w:ascii="仿宋" w:hAnsi="仿宋" w:eastAsia="仿宋"/>
          <w:color w:val="auto"/>
          <w:sz w:val="32"/>
          <w:szCs w:val="32"/>
          <w:lang w:val="en-US" w:eastAsia="zh-CN"/>
        </w:rPr>
        <w:t>5</w:t>
      </w:r>
      <w:r>
        <w:rPr>
          <w:rFonts w:hint="eastAsia" w:ascii="仿宋" w:hAnsi="仿宋" w:eastAsia="仿宋"/>
          <w:color w:val="auto"/>
          <w:sz w:val="32"/>
          <w:szCs w:val="32"/>
        </w:rPr>
        <w:t>届应届毕业生。</w:t>
      </w:r>
    </w:p>
    <w:p w14:paraId="42103E45">
      <w:pPr>
        <w:pStyle w:val="4"/>
        <w:numPr>
          <w:ilvl w:val="0"/>
          <w:numId w:val="1"/>
        </w:numPr>
        <w:shd w:val="clear" w:color="auto" w:fill="FFFFFF"/>
        <w:spacing w:before="0" w:beforeAutospacing="0" w:after="0" w:afterAutospacing="0" w:line="560" w:lineRule="exact"/>
        <w:ind w:left="0"/>
        <w:jc w:val="both"/>
        <w:textAlignment w:val="baseline"/>
        <w:rPr>
          <w:rFonts w:ascii="仿宋" w:hAnsi="仿宋" w:eastAsia="仿宋"/>
          <w:color w:val="auto"/>
          <w:sz w:val="32"/>
          <w:szCs w:val="32"/>
        </w:rPr>
      </w:pPr>
      <w:r>
        <w:rPr>
          <w:rFonts w:hint="eastAsia" w:ascii="仿宋" w:hAnsi="仿宋" w:eastAsia="仿宋"/>
          <w:color w:val="auto"/>
          <w:sz w:val="32"/>
          <w:szCs w:val="32"/>
        </w:rPr>
        <w:t>具备相关专业知识，专业成绩良好及以上，具有一定的团队意识和组织协调能力。</w:t>
      </w:r>
    </w:p>
    <w:p w14:paraId="6C69FB19">
      <w:pPr>
        <w:pStyle w:val="4"/>
        <w:numPr>
          <w:ilvl w:val="0"/>
          <w:numId w:val="1"/>
        </w:numPr>
        <w:shd w:val="clear" w:color="auto" w:fill="FFFFFF"/>
        <w:spacing w:before="0" w:beforeAutospacing="0" w:after="0" w:afterAutospacing="0" w:line="560" w:lineRule="exact"/>
        <w:ind w:left="0"/>
        <w:jc w:val="both"/>
        <w:textAlignment w:val="baseline"/>
        <w:rPr>
          <w:rFonts w:ascii="仿宋" w:hAnsi="仿宋" w:eastAsia="仿宋"/>
          <w:color w:val="auto"/>
          <w:sz w:val="32"/>
          <w:szCs w:val="32"/>
        </w:rPr>
      </w:pPr>
      <w:r>
        <w:rPr>
          <w:rFonts w:hint="eastAsia" w:ascii="仿宋" w:hAnsi="仿宋" w:eastAsia="仿宋"/>
          <w:color w:val="auto"/>
          <w:sz w:val="32"/>
          <w:szCs w:val="32"/>
        </w:rPr>
        <w:t>符合公司施工企业的工作要求，吃苦耐劳、能够适应施工现场工作环境，服从工作安排。</w:t>
      </w:r>
    </w:p>
    <w:p w14:paraId="1C1506D5">
      <w:pPr>
        <w:pStyle w:val="4"/>
        <w:numPr>
          <w:ilvl w:val="0"/>
          <w:numId w:val="1"/>
        </w:numPr>
        <w:shd w:val="clear" w:color="auto" w:fill="FFFFFF"/>
        <w:spacing w:before="0" w:beforeAutospacing="0" w:after="0" w:afterAutospacing="0" w:line="560" w:lineRule="exact"/>
        <w:ind w:left="0"/>
        <w:jc w:val="both"/>
        <w:textAlignment w:val="baseline"/>
        <w:rPr>
          <w:rFonts w:ascii="仿宋" w:hAnsi="仿宋" w:eastAsia="仿宋"/>
          <w:color w:val="auto"/>
          <w:sz w:val="32"/>
          <w:szCs w:val="32"/>
        </w:rPr>
      </w:pPr>
      <w:r>
        <w:rPr>
          <w:rFonts w:hint="eastAsia" w:ascii="仿宋" w:hAnsi="仿宋" w:eastAsia="仿宋"/>
          <w:color w:val="auto"/>
          <w:sz w:val="32"/>
          <w:szCs w:val="32"/>
        </w:rPr>
        <w:t>身心健康，体检结果符合公司员工体检录用标准。</w:t>
      </w:r>
    </w:p>
    <w:p w14:paraId="49BF4CAC">
      <w:pPr>
        <w:pStyle w:val="4"/>
        <w:numPr>
          <w:ilvl w:val="0"/>
          <w:numId w:val="1"/>
        </w:numPr>
        <w:shd w:val="clear" w:color="auto" w:fill="FFFFFF"/>
        <w:spacing w:before="0" w:beforeAutospacing="0" w:after="0" w:afterAutospacing="0" w:line="560" w:lineRule="exact"/>
        <w:ind w:left="0"/>
        <w:jc w:val="both"/>
        <w:textAlignment w:val="baseline"/>
        <w:rPr>
          <w:rFonts w:ascii="仿宋" w:hAnsi="仿宋" w:eastAsia="仿宋"/>
          <w:color w:val="auto"/>
          <w:sz w:val="32"/>
          <w:szCs w:val="32"/>
        </w:rPr>
      </w:pPr>
      <w:r>
        <w:rPr>
          <w:rFonts w:hint="eastAsia" w:ascii="仿宋" w:hAnsi="仿宋" w:eastAsia="仿宋"/>
          <w:color w:val="auto"/>
          <w:sz w:val="32"/>
          <w:szCs w:val="32"/>
        </w:rPr>
        <w:t>在校期间表现良好，无违法犯罪记录。</w:t>
      </w:r>
    </w:p>
    <w:p w14:paraId="4EA465D6">
      <w:pPr>
        <w:pStyle w:val="4"/>
        <w:numPr>
          <w:ilvl w:val="0"/>
          <w:numId w:val="1"/>
        </w:numPr>
        <w:shd w:val="clear" w:color="auto" w:fill="FFFFFF"/>
        <w:spacing w:before="0" w:beforeAutospacing="0" w:after="0" w:afterAutospacing="0" w:line="560" w:lineRule="exact"/>
        <w:ind w:left="0"/>
        <w:jc w:val="both"/>
        <w:textAlignment w:val="baseline"/>
        <w:rPr>
          <w:rFonts w:ascii="仿宋" w:hAnsi="仿宋" w:eastAsia="仿宋"/>
          <w:color w:val="auto"/>
          <w:sz w:val="32"/>
          <w:szCs w:val="32"/>
        </w:rPr>
      </w:pPr>
      <w:r>
        <w:rPr>
          <w:rFonts w:hint="eastAsia" w:ascii="仿宋" w:hAnsi="仿宋" w:eastAsia="仿宋"/>
          <w:color w:val="auto"/>
          <w:sz w:val="32"/>
          <w:szCs w:val="32"/>
          <w:lang w:val="en-US" w:eastAsia="zh-CN"/>
        </w:rPr>
        <w:t>研究生</w:t>
      </w:r>
      <w:r>
        <w:rPr>
          <w:rFonts w:hint="eastAsia" w:ascii="仿宋" w:hAnsi="仿宋" w:eastAsia="仿宋"/>
          <w:color w:val="auto"/>
          <w:sz w:val="32"/>
          <w:szCs w:val="32"/>
        </w:rPr>
        <w:t>英语C</w:t>
      </w:r>
      <w:r>
        <w:rPr>
          <w:rFonts w:ascii="仿宋" w:hAnsi="仿宋" w:eastAsia="仿宋"/>
          <w:color w:val="auto"/>
          <w:sz w:val="32"/>
          <w:szCs w:val="32"/>
        </w:rPr>
        <w:t>ET</w:t>
      </w:r>
      <w:r>
        <w:rPr>
          <w:rFonts w:hint="eastAsia" w:ascii="仿宋" w:hAnsi="仿宋" w:eastAsia="仿宋"/>
          <w:color w:val="auto"/>
          <w:sz w:val="32"/>
          <w:szCs w:val="32"/>
          <w:lang w:val="en-US" w:eastAsia="zh-CN"/>
        </w:rPr>
        <w:t>六</w:t>
      </w:r>
      <w:r>
        <w:rPr>
          <w:rFonts w:hint="eastAsia" w:ascii="仿宋" w:hAnsi="仿宋" w:eastAsia="仿宋"/>
          <w:color w:val="auto"/>
          <w:sz w:val="32"/>
          <w:szCs w:val="32"/>
        </w:rPr>
        <w:t>级</w:t>
      </w:r>
      <w:r>
        <w:rPr>
          <w:rFonts w:hint="eastAsia" w:ascii="仿宋" w:hAnsi="仿宋" w:eastAsia="仿宋"/>
          <w:color w:val="auto"/>
          <w:sz w:val="32"/>
          <w:szCs w:val="32"/>
          <w:lang w:eastAsia="zh-CN"/>
        </w:rPr>
        <w:t>，</w:t>
      </w:r>
      <w:r>
        <w:rPr>
          <w:rFonts w:hint="eastAsia" w:ascii="仿宋" w:hAnsi="仿宋" w:eastAsia="仿宋"/>
          <w:color w:val="auto"/>
          <w:sz w:val="32"/>
          <w:szCs w:val="32"/>
          <w:lang w:val="en-US" w:eastAsia="zh-CN"/>
        </w:rPr>
        <w:t>本科</w:t>
      </w:r>
      <w:r>
        <w:rPr>
          <w:rFonts w:hint="eastAsia" w:ascii="仿宋" w:hAnsi="仿宋" w:eastAsia="仿宋"/>
          <w:color w:val="auto"/>
          <w:sz w:val="32"/>
          <w:szCs w:val="32"/>
        </w:rPr>
        <w:t>英语C</w:t>
      </w:r>
      <w:r>
        <w:rPr>
          <w:rFonts w:ascii="仿宋" w:hAnsi="仿宋" w:eastAsia="仿宋"/>
          <w:color w:val="auto"/>
          <w:sz w:val="32"/>
          <w:szCs w:val="32"/>
        </w:rPr>
        <w:t>ET</w:t>
      </w:r>
      <w:r>
        <w:rPr>
          <w:rFonts w:hint="eastAsia" w:ascii="仿宋" w:hAnsi="仿宋" w:eastAsia="仿宋"/>
          <w:color w:val="auto"/>
          <w:sz w:val="32"/>
          <w:szCs w:val="32"/>
        </w:rPr>
        <w:t>四级</w:t>
      </w:r>
      <w:r>
        <w:rPr>
          <w:rFonts w:hint="eastAsia" w:ascii="仿宋" w:hAnsi="仿宋" w:eastAsia="仿宋"/>
          <w:color w:val="auto"/>
          <w:sz w:val="32"/>
          <w:szCs w:val="32"/>
          <w:lang w:eastAsia="zh-CN"/>
        </w:rPr>
        <w:t>。</w:t>
      </w:r>
    </w:p>
    <w:p w14:paraId="440576EB">
      <w:pPr>
        <w:pStyle w:val="4"/>
        <w:numPr>
          <w:ilvl w:val="0"/>
          <w:numId w:val="1"/>
        </w:numPr>
        <w:shd w:val="clear" w:color="auto" w:fill="FFFFFF"/>
        <w:spacing w:before="0" w:beforeAutospacing="0" w:after="0" w:afterAutospacing="0" w:line="560" w:lineRule="exact"/>
        <w:ind w:left="0"/>
        <w:jc w:val="both"/>
        <w:textAlignment w:val="baseline"/>
        <w:rPr>
          <w:rFonts w:ascii="仿宋" w:hAnsi="仿宋" w:eastAsia="仿宋"/>
          <w:color w:val="auto"/>
          <w:sz w:val="32"/>
          <w:szCs w:val="32"/>
        </w:rPr>
      </w:pPr>
      <w:r>
        <w:rPr>
          <w:rFonts w:hint="eastAsia" w:ascii="仿宋" w:hAnsi="仿宋" w:eastAsia="仿宋"/>
          <w:color w:val="auto"/>
          <w:sz w:val="32"/>
          <w:szCs w:val="32"/>
        </w:rPr>
        <w:t>中共党员、学生干部优先。</w:t>
      </w:r>
    </w:p>
    <w:p w14:paraId="543E4D87">
      <w:pPr>
        <w:pStyle w:val="4"/>
        <w:numPr>
          <w:ilvl w:val="0"/>
          <w:numId w:val="1"/>
        </w:numPr>
        <w:shd w:val="clear" w:color="auto" w:fill="FFFFFF"/>
        <w:spacing w:before="0" w:beforeAutospacing="0" w:after="0" w:afterAutospacing="0" w:line="560" w:lineRule="exact"/>
        <w:ind w:left="0"/>
        <w:jc w:val="both"/>
        <w:textAlignment w:val="baseline"/>
        <w:rPr>
          <w:rFonts w:ascii="仿宋" w:hAnsi="仿宋" w:eastAsia="仿宋"/>
          <w:color w:val="auto"/>
          <w:sz w:val="32"/>
          <w:szCs w:val="32"/>
        </w:rPr>
      </w:pPr>
      <w:r>
        <w:rPr>
          <w:rFonts w:hint="eastAsia" w:ascii="仿宋" w:hAnsi="仿宋" w:eastAsia="仿宋"/>
          <w:color w:val="auto"/>
          <w:sz w:val="32"/>
          <w:szCs w:val="32"/>
        </w:rPr>
        <w:t>面向“双一流”建设高校毕业生，培养成为公司未来发展中坚力量。</w:t>
      </w:r>
    </w:p>
    <w:p w14:paraId="7837087B">
      <w:pPr>
        <w:rPr>
          <w:b/>
          <w:bCs/>
        </w:rPr>
      </w:pPr>
    </w:p>
    <w:p w14:paraId="0169F79E">
      <w:pPr>
        <w:spacing w:line="560" w:lineRule="exact"/>
        <w:rPr>
          <w:rFonts w:ascii="黑体" w:hAnsi="黑体" w:eastAsia="黑体"/>
          <w:b/>
          <w:bCs/>
          <w:sz w:val="32"/>
          <w:szCs w:val="32"/>
        </w:rPr>
      </w:pPr>
      <w:r>
        <w:rPr>
          <w:rFonts w:hint="eastAsia" w:ascii="黑体" w:hAnsi="黑体" w:eastAsia="黑体"/>
          <w:b/>
          <w:bCs/>
          <w:sz w:val="32"/>
          <w:szCs w:val="32"/>
        </w:rPr>
        <w:t>薪酬待遇</w:t>
      </w:r>
    </w:p>
    <w:p w14:paraId="1241A1F2">
      <w:pPr>
        <w:pStyle w:val="4"/>
        <w:numPr>
          <w:ilvl w:val="0"/>
          <w:numId w:val="1"/>
        </w:numPr>
        <w:shd w:val="clear" w:color="auto" w:fill="FFFFFF"/>
        <w:spacing w:before="0" w:beforeAutospacing="0" w:after="0" w:afterAutospacing="0" w:line="560" w:lineRule="exact"/>
        <w:ind w:left="0"/>
        <w:jc w:val="both"/>
        <w:textAlignment w:val="baseline"/>
        <w:rPr>
          <w:rFonts w:ascii="仿宋" w:hAnsi="仿宋" w:eastAsia="仿宋"/>
          <w:color w:val="auto"/>
          <w:sz w:val="32"/>
          <w:szCs w:val="32"/>
        </w:rPr>
      </w:pPr>
      <w:r>
        <w:rPr>
          <w:rFonts w:ascii="仿宋" w:hAnsi="仿宋" w:eastAsia="仿宋"/>
          <w:color w:val="auto"/>
          <w:sz w:val="32"/>
          <w:szCs w:val="32"/>
        </w:rPr>
        <w:t>为适应公司战略转型对紧缺人才的储备需求，进一步提高员工薪酬保障与激励作用，有效吸引和留住人才，</w:t>
      </w:r>
      <w:r>
        <w:rPr>
          <w:rFonts w:hint="eastAsia" w:ascii="仿宋" w:hAnsi="仿宋" w:eastAsia="仿宋"/>
          <w:color w:val="auto"/>
          <w:sz w:val="32"/>
          <w:szCs w:val="32"/>
        </w:rPr>
        <w:t>见习期应届毕业生统一执行公司见习期工资标准</w:t>
      </w:r>
      <w:r>
        <w:rPr>
          <w:rFonts w:ascii="仿宋" w:hAnsi="仿宋" w:eastAsia="仿宋"/>
          <w:color w:val="auto"/>
          <w:sz w:val="32"/>
          <w:szCs w:val="32"/>
        </w:rPr>
        <w:t>。</w:t>
      </w:r>
    </w:p>
    <w:p w14:paraId="1A5370FF">
      <w:pPr>
        <w:pStyle w:val="4"/>
        <w:numPr>
          <w:ilvl w:val="0"/>
          <w:numId w:val="1"/>
        </w:numPr>
        <w:shd w:val="clear" w:color="auto" w:fill="FFFFFF"/>
        <w:spacing w:before="0" w:beforeAutospacing="0" w:after="0" w:afterAutospacing="0" w:line="560" w:lineRule="exact"/>
        <w:ind w:left="0"/>
        <w:jc w:val="both"/>
        <w:textAlignment w:val="baseline"/>
        <w:rPr>
          <w:rFonts w:ascii="仿宋" w:hAnsi="仿宋" w:eastAsia="仿宋"/>
          <w:color w:val="auto"/>
          <w:sz w:val="32"/>
          <w:szCs w:val="32"/>
        </w:rPr>
      </w:pPr>
      <w:r>
        <w:rPr>
          <w:rFonts w:ascii="仿宋" w:hAnsi="仿宋" w:eastAsia="仿宋"/>
          <w:color w:val="auto"/>
          <w:sz w:val="32"/>
          <w:szCs w:val="32"/>
        </w:rPr>
        <w:t>见习期满后参加见习期满考核，考核通过的毕业生转正定岗，实行岗位绩效工资制度。</w:t>
      </w:r>
    </w:p>
    <w:p w14:paraId="359518B2">
      <w:pPr>
        <w:pStyle w:val="4"/>
        <w:numPr>
          <w:ilvl w:val="0"/>
          <w:numId w:val="1"/>
        </w:numPr>
        <w:shd w:val="clear" w:color="auto" w:fill="FFFFFF"/>
        <w:spacing w:before="0" w:beforeAutospacing="0" w:after="0" w:afterAutospacing="0" w:line="560" w:lineRule="exact"/>
        <w:ind w:left="0"/>
        <w:jc w:val="both"/>
        <w:textAlignment w:val="baseline"/>
        <w:rPr>
          <w:rFonts w:ascii="仿宋" w:hAnsi="仿宋" w:eastAsia="仿宋"/>
          <w:color w:val="auto"/>
          <w:sz w:val="32"/>
          <w:szCs w:val="32"/>
        </w:rPr>
      </w:pPr>
      <w:r>
        <w:rPr>
          <w:rFonts w:hint="eastAsia" w:ascii="仿宋" w:hAnsi="仿宋" w:eastAsia="仿宋"/>
          <w:color w:val="auto"/>
          <w:sz w:val="32"/>
          <w:szCs w:val="32"/>
          <w:lang w:val="en-US" w:eastAsia="zh-CN"/>
        </w:rPr>
        <w:t>见习期</w:t>
      </w:r>
      <w:r>
        <w:rPr>
          <w:rFonts w:ascii="仿宋" w:hAnsi="仿宋" w:eastAsia="仿宋"/>
          <w:color w:val="auto"/>
          <w:sz w:val="32"/>
          <w:szCs w:val="32"/>
        </w:rPr>
        <w:t>综合薪酬主要包括：标准薪酬+施工现场补贴+年度绩效考核奖等。根据项目经营效益享受年度绩效收入。</w:t>
      </w:r>
    </w:p>
    <w:p w14:paraId="2D31F30F">
      <w:pPr>
        <w:pStyle w:val="4"/>
        <w:keepNext w:val="0"/>
        <w:keepLines w:val="0"/>
        <w:pageBreakBefore w:val="0"/>
        <w:numPr>
          <w:ilvl w:val="0"/>
          <w:numId w:val="1"/>
        </w:numPr>
        <w:shd w:val="clear" w:color="auto" w:fill="FFFFFF"/>
        <w:kinsoku/>
        <w:wordWrap/>
        <w:overflowPunct/>
        <w:topLinePunct w:val="0"/>
        <w:autoSpaceDE/>
        <w:autoSpaceDN/>
        <w:bidi w:val="0"/>
        <w:adjustRightInd/>
        <w:snapToGrid/>
        <w:spacing w:before="0" w:beforeAutospacing="0" w:after="0" w:afterAutospacing="0" w:line="560" w:lineRule="exact"/>
        <w:ind w:left="0"/>
        <w:jc w:val="both"/>
        <w:textAlignment w:val="baseline"/>
        <w:rPr>
          <w:rFonts w:ascii="仿宋" w:hAnsi="仿宋" w:eastAsia="仿宋"/>
          <w:color w:val="555555"/>
          <w:sz w:val="32"/>
          <w:szCs w:val="32"/>
        </w:rPr>
      </w:pPr>
      <w:r>
        <w:rPr>
          <w:rFonts w:hint="eastAsia" w:ascii="仿宋" w:hAnsi="仿宋" w:eastAsia="仿宋"/>
          <w:color w:val="auto"/>
          <w:sz w:val="32"/>
          <w:szCs w:val="32"/>
          <w:lang w:val="en-US" w:eastAsia="zh-CN"/>
        </w:rPr>
        <w:t>优秀</w:t>
      </w:r>
      <w:r>
        <w:rPr>
          <w:rFonts w:hint="eastAsia" w:ascii="仿宋" w:hAnsi="仿宋" w:eastAsia="仿宋"/>
          <w:color w:val="auto"/>
          <w:sz w:val="32"/>
          <w:szCs w:val="32"/>
        </w:rPr>
        <w:t>应届毕业生</w:t>
      </w:r>
      <w:r>
        <w:rPr>
          <w:rFonts w:hint="eastAsia" w:ascii="仿宋" w:hAnsi="仿宋" w:eastAsia="仿宋"/>
          <w:color w:val="auto"/>
          <w:sz w:val="32"/>
          <w:szCs w:val="32"/>
          <w:lang w:val="en-US" w:eastAsia="zh-CN"/>
        </w:rPr>
        <w:t>享受“院校津贴”</w:t>
      </w:r>
      <w:r>
        <w:rPr>
          <w:rFonts w:hint="eastAsia" w:ascii="仿宋" w:hAnsi="仿宋" w:eastAsia="仿宋"/>
          <w:color w:val="555555"/>
          <w:sz w:val="32"/>
          <w:szCs w:val="32"/>
        </w:rPr>
        <w:t>。</w:t>
      </w:r>
    </w:p>
    <w:p w14:paraId="353E43D8">
      <w:pPr>
        <w:pStyle w:val="5"/>
        <w:keepNext w:val="0"/>
        <w:keepLines w:val="0"/>
        <w:pageBreakBefore w:val="0"/>
        <w:widowControl w:val="0"/>
        <w:shd w:val="clear" w:color="auto" w:fill="auto"/>
        <w:tabs>
          <w:tab w:val="left" w:pos="1598"/>
        </w:tabs>
        <w:kinsoku/>
        <w:wordWrap/>
        <w:overflowPunct/>
        <w:topLinePunct w:val="0"/>
        <w:autoSpaceDE/>
        <w:autoSpaceDN/>
        <w:bidi w:val="0"/>
        <w:adjustRightInd/>
        <w:snapToGrid/>
        <w:spacing w:before="0" w:line="560" w:lineRule="exact"/>
        <w:ind w:right="0" w:firstLine="640" w:firstLineChars="200"/>
        <w:jc w:val="both"/>
        <w:textAlignment w:val="auto"/>
        <w:rPr>
          <w:rFonts w:ascii="仿宋" w:hAnsi="仿宋" w:eastAsia="仿宋"/>
          <w:color w:val="555555"/>
          <w:sz w:val="32"/>
          <w:szCs w:val="32"/>
        </w:rPr>
      </w:pPr>
      <w:r>
        <w:rPr>
          <w:rFonts w:hint="eastAsia" w:ascii="仿宋" w:hAnsi="仿宋" w:eastAsia="仿宋" w:cs="仿宋"/>
          <w:color w:val="auto"/>
          <w:spacing w:val="0"/>
          <w:w w:val="100"/>
          <w:kern w:val="2"/>
          <w:position w:val="0"/>
          <w:sz w:val="32"/>
          <w:szCs w:val="32"/>
          <w:u w:val="none"/>
          <w:shd w:val="clear" w:color="auto" w:fill="auto"/>
          <w:lang w:val="en-US" w:eastAsia="zh-CN" w:bidi="zh-TW"/>
        </w:rPr>
        <w:t>符合条件的2025届校园招聘新员工享受公司每月1000-3000元不等“院校津贴”</w:t>
      </w:r>
      <w:r>
        <w:rPr>
          <w:rFonts w:hint="eastAsia" w:ascii="仿宋" w:hAnsi="仿宋" w:eastAsia="仿宋" w:cs="仿宋"/>
          <w:color w:val="auto"/>
          <w:spacing w:val="0"/>
          <w:w w:val="100"/>
          <w:position w:val="0"/>
          <w:sz w:val="32"/>
          <w:szCs w:val="32"/>
        </w:rPr>
        <w:t>。</w:t>
      </w:r>
    </w:p>
    <w:p w14:paraId="7B62E2FD">
      <w:pPr>
        <w:spacing w:line="560" w:lineRule="exact"/>
        <w:rPr>
          <w:rFonts w:ascii="黑体" w:hAnsi="黑体" w:eastAsia="黑体"/>
          <w:b/>
          <w:bCs/>
          <w:sz w:val="32"/>
          <w:szCs w:val="32"/>
        </w:rPr>
      </w:pPr>
      <w:r>
        <w:rPr>
          <w:rFonts w:hint="eastAsia" w:ascii="黑体" w:hAnsi="黑体" w:eastAsia="黑体"/>
          <w:b/>
          <w:bCs/>
          <w:sz w:val="32"/>
          <w:szCs w:val="32"/>
        </w:rPr>
        <w:t>丰厚的福利</w:t>
      </w:r>
    </w:p>
    <w:p w14:paraId="42D6590C">
      <w:pPr>
        <w:pStyle w:val="4"/>
        <w:numPr>
          <w:ilvl w:val="0"/>
          <w:numId w:val="1"/>
        </w:numPr>
        <w:shd w:val="clear" w:color="auto" w:fill="FFFFFF"/>
        <w:spacing w:before="0" w:beforeAutospacing="0" w:after="0" w:afterAutospacing="0" w:line="560" w:lineRule="exact"/>
        <w:ind w:left="0"/>
        <w:jc w:val="both"/>
        <w:textAlignment w:val="baseline"/>
        <w:rPr>
          <w:rFonts w:ascii="仿宋" w:hAnsi="仿宋" w:eastAsia="仿宋"/>
          <w:color w:val="auto"/>
          <w:sz w:val="32"/>
          <w:szCs w:val="32"/>
        </w:rPr>
      </w:pPr>
      <w:r>
        <w:rPr>
          <w:rFonts w:hint="eastAsia" w:ascii="仿宋" w:hAnsi="仿宋" w:eastAsia="仿宋"/>
          <w:color w:val="auto"/>
          <w:sz w:val="32"/>
          <w:szCs w:val="32"/>
          <w:lang w:val="en-US" w:eastAsia="zh-CN"/>
        </w:rPr>
        <w:t>六</w:t>
      </w:r>
      <w:r>
        <w:rPr>
          <w:rFonts w:ascii="仿宋" w:hAnsi="仿宋" w:eastAsia="仿宋"/>
          <w:color w:val="auto"/>
          <w:sz w:val="32"/>
          <w:szCs w:val="32"/>
        </w:rPr>
        <w:t>险二金，公司依法为正式自有员工缴纳养老保险、医疗保险、失业保险、工伤保险、生育保险、住房公积金</w:t>
      </w:r>
      <w:r>
        <w:rPr>
          <w:rFonts w:hint="eastAsia" w:ascii="仿宋" w:hAnsi="仿宋" w:eastAsia="仿宋"/>
          <w:color w:val="auto"/>
          <w:sz w:val="32"/>
          <w:szCs w:val="32"/>
          <w:lang w:eastAsia="zh-CN"/>
        </w:rPr>
        <w:t>，</w:t>
      </w:r>
      <w:r>
        <w:rPr>
          <w:rFonts w:ascii="仿宋" w:hAnsi="仿宋" w:eastAsia="仿宋"/>
          <w:color w:val="auto"/>
          <w:sz w:val="32"/>
          <w:szCs w:val="32"/>
        </w:rPr>
        <w:t>按员工社保关系所在地政策规定执行。符合条件的正式自有员工享受企业年金、补充医疗保险</w:t>
      </w:r>
      <w:r>
        <w:rPr>
          <w:rFonts w:hint="eastAsia" w:ascii="仿宋" w:hAnsi="仿宋" w:eastAsia="仿宋"/>
          <w:color w:val="auto"/>
          <w:sz w:val="32"/>
          <w:szCs w:val="32"/>
          <w:lang w:eastAsia="zh-CN"/>
        </w:rPr>
        <w:t>。</w:t>
      </w:r>
    </w:p>
    <w:p w14:paraId="718DB172">
      <w:pPr>
        <w:pStyle w:val="4"/>
        <w:numPr>
          <w:ilvl w:val="0"/>
          <w:numId w:val="1"/>
        </w:numPr>
        <w:shd w:val="clear" w:color="auto" w:fill="FFFFFF"/>
        <w:spacing w:before="0" w:beforeAutospacing="0" w:after="0" w:afterAutospacing="0" w:line="560" w:lineRule="exact"/>
        <w:ind w:left="0"/>
        <w:jc w:val="both"/>
        <w:textAlignment w:val="baseline"/>
        <w:rPr>
          <w:rFonts w:ascii="仿宋" w:hAnsi="仿宋" w:eastAsia="仿宋"/>
          <w:color w:val="auto"/>
          <w:sz w:val="32"/>
          <w:szCs w:val="32"/>
        </w:rPr>
      </w:pPr>
      <w:r>
        <w:rPr>
          <w:rFonts w:ascii="仿宋" w:hAnsi="仿宋" w:eastAsia="仿宋"/>
          <w:color w:val="auto"/>
          <w:sz w:val="32"/>
          <w:szCs w:val="32"/>
        </w:rPr>
        <w:t>职工免费体检等福利待遇，具体按照公司制度执行。</w:t>
      </w:r>
    </w:p>
    <w:p w14:paraId="1C901207">
      <w:pPr>
        <w:pStyle w:val="4"/>
        <w:numPr>
          <w:ilvl w:val="0"/>
          <w:numId w:val="1"/>
        </w:numPr>
        <w:shd w:val="clear" w:color="auto" w:fill="FFFFFF"/>
        <w:spacing w:before="0" w:beforeAutospacing="0" w:after="0" w:afterAutospacing="0" w:line="560" w:lineRule="exact"/>
        <w:ind w:left="0"/>
        <w:jc w:val="both"/>
        <w:textAlignment w:val="baseline"/>
        <w:rPr>
          <w:rFonts w:ascii="仿宋" w:hAnsi="仿宋" w:eastAsia="仿宋"/>
          <w:color w:val="auto"/>
          <w:sz w:val="32"/>
          <w:szCs w:val="32"/>
        </w:rPr>
      </w:pPr>
      <w:r>
        <w:rPr>
          <w:rFonts w:ascii="仿宋" w:hAnsi="仿宋" w:eastAsia="仿宋"/>
          <w:color w:val="auto"/>
          <w:sz w:val="32"/>
          <w:szCs w:val="32"/>
        </w:rPr>
        <w:t>享受公司免费培训服务，发放执业资格津贴、防暑降温费等。</w:t>
      </w:r>
    </w:p>
    <w:p w14:paraId="1A5E0336">
      <w:pPr>
        <w:pStyle w:val="4"/>
        <w:numPr>
          <w:ilvl w:val="0"/>
          <w:numId w:val="1"/>
        </w:numPr>
        <w:shd w:val="clear" w:color="auto" w:fill="FFFFFF"/>
        <w:spacing w:before="0" w:beforeAutospacing="0" w:after="0" w:afterAutospacing="0" w:line="560" w:lineRule="exact"/>
        <w:ind w:left="0"/>
        <w:jc w:val="both"/>
        <w:textAlignment w:val="baseline"/>
        <w:rPr>
          <w:rFonts w:ascii="仿宋" w:hAnsi="仿宋" w:eastAsia="仿宋"/>
          <w:color w:val="auto"/>
          <w:sz w:val="32"/>
          <w:szCs w:val="32"/>
        </w:rPr>
      </w:pPr>
      <w:r>
        <w:rPr>
          <w:rFonts w:ascii="仿宋" w:hAnsi="仿宋" w:eastAsia="仿宋"/>
          <w:color w:val="auto"/>
          <w:sz w:val="32"/>
          <w:szCs w:val="32"/>
        </w:rPr>
        <w:t>享受应届毕业生免费住房和食宿，具体按照所在单位制度执行。</w:t>
      </w:r>
    </w:p>
    <w:p w14:paraId="31122137">
      <w:pPr>
        <w:pStyle w:val="4"/>
        <w:numPr>
          <w:ilvl w:val="0"/>
          <w:numId w:val="1"/>
        </w:numPr>
        <w:shd w:val="clear" w:color="auto" w:fill="FFFFFF"/>
        <w:spacing w:before="0" w:beforeAutospacing="0" w:after="0" w:afterAutospacing="0" w:line="560" w:lineRule="exact"/>
        <w:ind w:left="0"/>
        <w:jc w:val="both"/>
        <w:textAlignment w:val="baseline"/>
        <w:rPr>
          <w:rFonts w:ascii="仿宋" w:hAnsi="仿宋" w:eastAsia="仿宋"/>
          <w:color w:val="auto"/>
          <w:sz w:val="32"/>
          <w:szCs w:val="32"/>
        </w:rPr>
      </w:pPr>
      <w:r>
        <w:rPr>
          <w:rFonts w:ascii="仿宋" w:hAnsi="仿宋" w:eastAsia="仿宋"/>
          <w:color w:val="auto"/>
          <w:sz w:val="32"/>
          <w:szCs w:val="32"/>
        </w:rPr>
        <w:t>享受法定节假日、</w:t>
      </w:r>
      <w:r>
        <w:rPr>
          <w:rFonts w:hint="eastAsia" w:ascii="仿宋" w:hAnsi="仿宋" w:eastAsia="仿宋"/>
          <w:color w:val="auto"/>
          <w:sz w:val="32"/>
          <w:szCs w:val="32"/>
        </w:rPr>
        <w:t>带薪</w:t>
      </w:r>
      <w:r>
        <w:rPr>
          <w:rFonts w:ascii="仿宋" w:hAnsi="仿宋" w:eastAsia="仿宋"/>
          <w:color w:val="auto"/>
          <w:sz w:val="32"/>
          <w:szCs w:val="32"/>
        </w:rPr>
        <w:t>年假、探亲假、婚假、产假等假期。</w:t>
      </w:r>
    </w:p>
    <w:p w14:paraId="1F69A9D7">
      <w:pPr>
        <w:spacing w:line="560" w:lineRule="exact"/>
        <w:rPr>
          <w:rFonts w:ascii="黑体" w:hAnsi="黑体" w:eastAsia="黑体"/>
          <w:b/>
          <w:bCs/>
          <w:sz w:val="32"/>
          <w:szCs w:val="32"/>
        </w:rPr>
      </w:pPr>
      <w:r>
        <w:rPr>
          <w:rFonts w:hint="eastAsia" w:ascii="黑体" w:hAnsi="黑体" w:eastAsia="黑体"/>
          <w:b/>
          <w:bCs/>
          <w:sz w:val="32"/>
          <w:szCs w:val="32"/>
        </w:rPr>
        <w:t>人才培养</w:t>
      </w:r>
    </w:p>
    <w:p w14:paraId="4778E851">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公司构建了“璞石-坚石-磐石”三阶段青年人才梯队培养与开发机制，致力于建设一支青蓝相继薪火相传的管理、技术、技能人才队伍，为公司可持续高质量发展提供源源不断的人才保障。</w:t>
      </w:r>
    </w:p>
    <w:p w14:paraId="5E2E1026">
      <w:pPr>
        <w:spacing w:line="560" w:lineRule="exact"/>
        <w:rPr>
          <w:rFonts w:hint="eastAsia" w:ascii="黑体" w:hAnsi="黑体" w:eastAsia="黑体"/>
          <w:b/>
          <w:bCs/>
          <w:sz w:val="32"/>
          <w:szCs w:val="32"/>
          <w:lang w:val="en-US" w:eastAsia="zh-CN"/>
        </w:rPr>
      </w:pPr>
      <w:r>
        <w:rPr>
          <w:rFonts w:hint="eastAsia" w:ascii="黑体" w:hAnsi="黑体" w:eastAsia="黑体"/>
          <w:b/>
          <w:bCs/>
          <w:sz w:val="32"/>
          <w:szCs w:val="32"/>
          <w:lang w:val="en-US" w:eastAsia="zh-CN"/>
        </w:rPr>
        <w:t>需求专业</w:t>
      </w:r>
    </w:p>
    <w:tbl>
      <w:tblPr>
        <w:tblW w:w="913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914"/>
        <w:gridCol w:w="1722"/>
        <w:gridCol w:w="3016"/>
        <w:gridCol w:w="3483"/>
      </w:tblGrid>
      <w:tr w14:paraId="07AC5C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914" w:type="dxa"/>
            <w:vMerge w:val="restart"/>
            <w:tcBorders>
              <w:top w:val="single" w:color="000000" w:sz="4" w:space="0"/>
              <w:left w:val="single" w:color="000000" w:sz="4" w:space="0"/>
              <w:bottom w:val="single" w:color="000000" w:sz="4" w:space="0"/>
              <w:right w:val="single" w:color="000000" w:sz="4" w:space="0"/>
            </w:tcBorders>
            <w:shd w:val="clear"/>
            <w:vAlign w:val="center"/>
          </w:tcPr>
          <w:p w14:paraId="37240EF9">
            <w:pPr>
              <w:keepNext w:val="0"/>
              <w:keepLines w:val="0"/>
              <w:widowControl/>
              <w:suppressLineNumbers w:val="0"/>
              <w:jc w:val="center"/>
              <w:textAlignment w:val="center"/>
              <w:rPr>
                <w:rFonts w:ascii="黑体" w:hAnsi="宋体" w:eastAsia="黑体" w:cs="黑体"/>
                <w:b/>
                <w:bCs/>
                <w:i w:val="0"/>
                <w:iCs w:val="0"/>
                <w:color w:val="000000"/>
                <w:sz w:val="28"/>
                <w:szCs w:val="28"/>
                <w:u w:val="none"/>
              </w:rPr>
            </w:pPr>
            <w:r>
              <w:rPr>
                <w:rFonts w:hint="eastAsia" w:ascii="黑体" w:hAnsi="宋体" w:eastAsia="黑体" w:cs="黑体"/>
                <w:b/>
                <w:bCs/>
                <w:i w:val="0"/>
                <w:iCs w:val="0"/>
                <w:color w:val="000000"/>
                <w:kern w:val="0"/>
                <w:sz w:val="28"/>
                <w:szCs w:val="28"/>
                <w:u w:val="none"/>
                <w:bdr w:val="none" w:color="auto" w:sz="0" w:space="0"/>
                <w:lang w:val="en-US" w:eastAsia="zh-CN" w:bidi="ar"/>
              </w:rPr>
              <w:t>序号</w:t>
            </w:r>
          </w:p>
        </w:tc>
        <w:tc>
          <w:tcPr>
            <w:tcW w:w="4738"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14:paraId="2A74AFEB">
            <w:pPr>
              <w:keepNext w:val="0"/>
              <w:keepLines w:val="0"/>
              <w:widowControl/>
              <w:suppressLineNumbers w:val="0"/>
              <w:jc w:val="center"/>
              <w:textAlignment w:val="center"/>
              <w:rPr>
                <w:rFonts w:hint="eastAsia" w:ascii="黑体" w:hAnsi="宋体" w:eastAsia="黑体" w:cs="黑体"/>
                <w:b/>
                <w:bCs/>
                <w:i w:val="0"/>
                <w:iCs w:val="0"/>
                <w:color w:val="000000"/>
                <w:sz w:val="28"/>
                <w:szCs w:val="28"/>
                <w:u w:val="none"/>
              </w:rPr>
            </w:pPr>
            <w:r>
              <w:rPr>
                <w:rFonts w:hint="eastAsia" w:ascii="黑体" w:hAnsi="宋体" w:eastAsia="黑体" w:cs="黑体"/>
                <w:b/>
                <w:bCs/>
                <w:i w:val="0"/>
                <w:iCs w:val="0"/>
                <w:color w:val="000000"/>
                <w:kern w:val="0"/>
                <w:sz w:val="28"/>
                <w:szCs w:val="28"/>
                <w:u w:val="none"/>
                <w:bdr w:val="none" w:color="auto" w:sz="0" w:space="0"/>
                <w:lang w:val="en-US" w:eastAsia="zh-CN" w:bidi="ar"/>
              </w:rPr>
              <w:t>需求专业</w:t>
            </w:r>
          </w:p>
        </w:tc>
        <w:tc>
          <w:tcPr>
            <w:tcW w:w="3483" w:type="dxa"/>
            <w:vMerge w:val="restart"/>
            <w:tcBorders>
              <w:top w:val="single" w:color="000000" w:sz="4" w:space="0"/>
              <w:left w:val="single" w:color="000000" w:sz="4" w:space="0"/>
              <w:bottom w:val="single" w:color="000000" w:sz="4" w:space="0"/>
              <w:right w:val="single" w:color="000000" w:sz="4" w:space="0"/>
            </w:tcBorders>
            <w:shd w:val="clear"/>
            <w:vAlign w:val="center"/>
          </w:tcPr>
          <w:p w14:paraId="088724C4">
            <w:pPr>
              <w:keepNext w:val="0"/>
              <w:keepLines w:val="0"/>
              <w:widowControl/>
              <w:suppressLineNumbers w:val="0"/>
              <w:jc w:val="center"/>
              <w:textAlignment w:val="center"/>
              <w:rPr>
                <w:rFonts w:hint="eastAsia" w:ascii="黑体" w:hAnsi="宋体" w:eastAsia="黑体" w:cs="黑体"/>
                <w:b/>
                <w:bCs/>
                <w:i w:val="0"/>
                <w:iCs w:val="0"/>
                <w:color w:val="000000"/>
                <w:sz w:val="28"/>
                <w:szCs w:val="28"/>
                <w:u w:val="none"/>
              </w:rPr>
            </w:pPr>
            <w:r>
              <w:rPr>
                <w:rFonts w:hint="eastAsia" w:ascii="黑体" w:hAnsi="宋体" w:eastAsia="黑体" w:cs="黑体"/>
                <w:b/>
                <w:bCs/>
                <w:i w:val="0"/>
                <w:iCs w:val="0"/>
                <w:color w:val="000000"/>
                <w:kern w:val="0"/>
                <w:sz w:val="28"/>
                <w:szCs w:val="28"/>
                <w:u w:val="none"/>
                <w:bdr w:val="none" w:color="auto" w:sz="0" w:space="0"/>
                <w:lang w:val="en-US" w:eastAsia="zh-CN" w:bidi="ar"/>
              </w:rPr>
              <w:t>岗位名称</w:t>
            </w:r>
          </w:p>
        </w:tc>
      </w:tr>
      <w:tr w14:paraId="6B4ED2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99" w:hRule="atLeast"/>
        </w:trPr>
        <w:tc>
          <w:tcPr>
            <w:tcW w:w="91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48E42863">
            <w:pPr>
              <w:jc w:val="center"/>
              <w:rPr>
                <w:rFonts w:hint="eastAsia" w:ascii="黑体" w:hAnsi="宋体" w:eastAsia="黑体" w:cs="黑体"/>
                <w:b/>
                <w:bCs/>
                <w:i w:val="0"/>
                <w:iCs w:val="0"/>
                <w:color w:val="000000"/>
                <w:sz w:val="28"/>
                <w:szCs w:val="28"/>
                <w:u w:val="none"/>
              </w:rPr>
            </w:pPr>
          </w:p>
        </w:tc>
        <w:tc>
          <w:tcPr>
            <w:tcW w:w="4738"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14:paraId="242E2C8C">
            <w:pPr>
              <w:jc w:val="center"/>
              <w:rPr>
                <w:rFonts w:hint="eastAsia" w:ascii="黑体" w:hAnsi="宋体" w:eastAsia="黑体" w:cs="黑体"/>
                <w:b/>
                <w:bCs/>
                <w:i w:val="0"/>
                <w:iCs w:val="0"/>
                <w:color w:val="000000"/>
                <w:sz w:val="28"/>
                <w:szCs w:val="28"/>
                <w:u w:val="none"/>
              </w:rPr>
            </w:pPr>
          </w:p>
        </w:tc>
        <w:tc>
          <w:tcPr>
            <w:tcW w:w="3483" w:type="dxa"/>
            <w:vMerge w:val="continue"/>
            <w:tcBorders>
              <w:top w:val="single" w:color="000000" w:sz="4" w:space="0"/>
              <w:left w:val="single" w:color="000000" w:sz="4" w:space="0"/>
              <w:bottom w:val="single" w:color="000000" w:sz="4" w:space="0"/>
              <w:right w:val="single" w:color="000000" w:sz="4" w:space="0"/>
            </w:tcBorders>
            <w:shd w:val="clear"/>
            <w:vAlign w:val="center"/>
          </w:tcPr>
          <w:p w14:paraId="28F9D81E">
            <w:pPr>
              <w:jc w:val="center"/>
              <w:rPr>
                <w:rFonts w:hint="eastAsia" w:ascii="黑体" w:hAnsi="宋体" w:eastAsia="黑体" w:cs="黑体"/>
                <w:b/>
                <w:bCs/>
                <w:i w:val="0"/>
                <w:iCs w:val="0"/>
                <w:color w:val="000000"/>
                <w:sz w:val="28"/>
                <w:szCs w:val="28"/>
                <w:u w:val="none"/>
              </w:rPr>
            </w:pPr>
          </w:p>
        </w:tc>
      </w:tr>
      <w:tr w14:paraId="3AB2E4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80" w:hRule="atLeast"/>
        </w:trPr>
        <w:tc>
          <w:tcPr>
            <w:tcW w:w="0" w:type="auto"/>
            <w:tcBorders>
              <w:top w:val="single" w:color="000000" w:sz="4" w:space="0"/>
              <w:left w:val="single" w:color="000000" w:sz="4" w:space="0"/>
              <w:bottom w:val="single" w:color="000000" w:sz="4" w:space="0"/>
              <w:right w:val="single" w:color="000000" w:sz="4" w:space="0"/>
            </w:tcBorders>
            <w:shd w:val="clear"/>
            <w:noWrap/>
            <w:vAlign w:val="center"/>
          </w:tcPr>
          <w:p w14:paraId="011138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1722" w:type="dxa"/>
            <w:vMerge w:val="restart"/>
            <w:tcBorders>
              <w:top w:val="nil"/>
              <w:left w:val="single" w:color="000000" w:sz="4" w:space="0"/>
              <w:bottom w:val="nil"/>
              <w:right w:val="single" w:color="000000" w:sz="4" w:space="0"/>
            </w:tcBorders>
            <w:shd w:val="clear"/>
            <w:vAlign w:val="center"/>
          </w:tcPr>
          <w:p w14:paraId="3C9931A1">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建筑工程类</w:t>
            </w:r>
          </w:p>
        </w:tc>
        <w:tc>
          <w:tcPr>
            <w:tcW w:w="3016" w:type="dxa"/>
            <w:tcBorders>
              <w:top w:val="nil"/>
              <w:left w:val="single" w:color="000000" w:sz="4" w:space="0"/>
              <w:bottom w:val="single" w:color="000000" w:sz="4" w:space="0"/>
              <w:right w:val="single" w:color="000000" w:sz="4" w:space="0"/>
            </w:tcBorders>
            <w:shd w:val="clear"/>
            <w:vAlign w:val="center"/>
          </w:tcPr>
          <w:p w14:paraId="2BA8E9B1">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土木工程</w:t>
            </w:r>
          </w:p>
        </w:tc>
        <w:tc>
          <w:tcPr>
            <w:tcW w:w="3483" w:type="dxa"/>
            <w:tcBorders>
              <w:top w:val="nil"/>
              <w:left w:val="single" w:color="000000" w:sz="4" w:space="0"/>
              <w:bottom w:val="single" w:color="000000" w:sz="4" w:space="0"/>
              <w:right w:val="single" w:color="000000" w:sz="4" w:space="0"/>
            </w:tcBorders>
            <w:shd w:val="clear"/>
            <w:vAlign w:val="center"/>
          </w:tcPr>
          <w:p w14:paraId="6D826205">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技术质量岗</w:t>
            </w:r>
          </w:p>
        </w:tc>
      </w:tr>
      <w:tr w14:paraId="6631B9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99" w:hRule="atLeast"/>
        </w:trPr>
        <w:tc>
          <w:tcPr>
            <w:tcW w:w="0" w:type="auto"/>
            <w:tcBorders>
              <w:top w:val="single" w:color="000000" w:sz="4" w:space="0"/>
              <w:left w:val="single" w:color="000000" w:sz="4" w:space="0"/>
              <w:bottom w:val="single" w:color="000000" w:sz="4" w:space="0"/>
              <w:right w:val="single" w:color="000000" w:sz="4" w:space="0"/>
            </w:tcBorders>
            <w:shd w:val="clear"/>
            <w:noWrap/>
            <w:vAlign w:val="center"/>
          </w:tcPr>
          <w:p w14:paraId="5CE10E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1722" w:type="dxa"/>
            <w:vMerge w:val="continue"/>
            <w:tcBorders>
              <w:top w:val="nil"/>
              <w:left w:val="single" w:color="000000" w:sz="4" w:space="0"/>
              <w:bottom w:val="nil"/>
              <w:right w:val="single" w:color="000000" w:sz="4" w:space="0"/>
            </w:tcBorders>
            <w:shd w:val="clear"/>
            <w:vAlign w:val="center"/>
          </w:tcPr>
          <w:p w14:paraId="167A4FF5">
            <w:pPr>
              <w:jc w:val="center"/>
              <w:rPr>
                <w:rFonts w:hint="eastAsia" w:ascii="黑体" w:hAnsi="宋体" w:eastAsia="黑体" w:cs="黑体"/>
                <w:i w:val="0"/>
                <w:iCs w:val="0"/>
                <w:color w:val="000000"/>
                <w:sz w:val="24"/>
                <w:szCs w:val="24"/>
                <w:u w:val="none"/>
              </w:rPr>
            </w:pPr>
          </w:p>
        </w:tc>
        <w:tc>
          <w:tcPr>
            <w:tcW w:w="3016" w:type="dxa"/>
            <w:tcBorders>
              <w:top w:val="single" w:color="000000" w:sz="4" w:space="0"/>
              <w:left w:val="single" w:color="000000" w:sz="4" w:space="0"/>
              <w:bottom w:val="single" w:color="000000" w:sz="4" w:space="0"/>
              <w:right w:val="single" w:color="000000" w:sz="4" w:space="0"/>
            </w:tcBorders>
            <w:shd w:val="clear"/>
            <w:vAlign w:val="center"/>
          </w:tcPr>
          <w:p w14:paraId="03F1E6E5">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工程管理</w:t>
            </w:r>
          </w:p>
        </w:tc>
        <w:tc>
          <w:tcPr>
            <w:tcW w:w="3483" w:type="dxa"/>
            <w:vMerge w:val="restart"/>
            <w:tcBorders>
              <w:top w:val="nil"/>
              <w:left w:val="single" w:color="000000" w:sz="4" w:space="0"/>
              <w:right w:val="single" w:color="000000" w:sz="4" w:space="0"/>
            </w:tcBorders>
            <w:shd w:val="clear"/>
            <w:vAlign w:val="center"/>
          </w:tcPr>
          <w:p w14:paraId="75A683AE">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成本控制管理岗</w:t>
            </w:r>
          </w:p>
        </w:tc>
      </w:tr>
      <w:tr w14:paraId="3437E5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99" w:hRule="atLeast"/>
        </w:trPr>
        <w:tc>
          <w:tcPr>
            <w:tcW w:w="0" w:type="auto"/>
            <w:tcBorders>
              <w:top w:val="single" w:color="000000" w:sz="4" w:space="0"/>
              <w:left w:val="single" w:color="000000" w:sz="4" w:space="0"/>
              <w:bottom w:val="single" w:color="000000" w:sz="4" w:space="0"/>
              <w:right w:val="single" w:color="000000" w:sz="4" w:space="0"/>
            </w:tcBorders>
            <w:shd w:val="clear"/>
            <w:noWrap/>
            <w:vAlign w:val="center"/>
          </w:tcPr>
          <w:p w14:paraId="4273F83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1722" w:type="dxa"/>
            <w:vMerge w:val="continue"/>
            <w:tcBorders>
              <w:top w:val="nil"/>
              <w:left w:val="single" w:color="000000" w:sz="4" w:space="0"/>
              <w:bottom w:val="nil"/>
              <w:right w:val="single" w:color="000000" w:sz="4" w:space="0"/>
            </w:tcBorders>
            <w:shd w:val="clear"/>
            <w:vAlign w:val="center"/>
          </w:tcPr>
          <w:p w14:paraId="10EAEECE">
            <w:pPr>
              <w:jc w:val="center"/>
              <w:rPr>
                <w:rFonts w:hint="eastAsia" w:ascii="黑体" w:hAnsi="宋体" w:eastAsia="黑体" w:cs="黑体"/>
                <w:i w:val="0"/>
                <w:iCs w:val="0"/>
                <w:color w:val="000000"/>
                <w:sz w:val="24"/>
                <w:szCs w:val="24"/>
                <w:u w:val="none"/>
              </w:rPr>
            </w:pPr>
          </w:p>
        </w:tc>
        <w:tc>
          <w:tcPr>
            <w:tcW w:w="3016" w:type="dxa"/>
            <w:tcBorders>
              <w:top w:val="single" w:color="000000" w:sz="4" w:space="0"/>
              <w:left w:val="single" w:color="000000" w:sz="4" w:space="0"/>
              <w:bottom w:val="single" w:color="000000" w:sz="4" w:space="0"/>
              <w:right w:val="single" w:color="000000" w:sz="4" w:space="0"/>
            </w:tcBorders>
            <w:shd w:val="clear"/>
            <w:vAlign w:val="center"/>
          </w:tcPr>
          <w:p w14:paraId="0BB2A946">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工程造价</w:t>
            </w:r>
          </w:p>
        </w:tc>
        <w:tc>
          <w:tcPr>
            <w:tcW w:w="3483" w:type="dxa"/>
            <w:vMerge w:val="continue"/>
            <w:tcBorders>
              <w:left w:val="single" w:color="000000" w:sz="4" w:space="0"/>
              <w:bottom w:val="single" w:color="000000" w:sz="4" w:space="0"/>
              <w:right w:val="single" w:color="000000" w:sz="4" w:space="0"/>
            </w:tcBorders>
            <w:shd w:val="clear"/>
            <w:vAlign w:val="center"/>
          </w:tcPr>
          <w:p w14:paraId="6D28869E">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p>
        </w:tc>
      </w:tr>
      <w:tr w14:paraId="784595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99" w:hRule="atLeast"/>
        </w:trPr>
        <w:tc>
          <w:tcPr>
            <w:tcW w:w="0" w:type="auto"/>
            <w:tcBorders>
              <w:top w:val="single" w:color="000000" w:sz="4" w:space="0"/>
              <w:left w:val="single" w:color="000000" w:sz="4" w:space="0"/>
              <w:bottom w:val="single" w:color="000000" w:sz="4" w:space="0"/>
              <w:right w:val="single" w:color="000000" w:sz="4" w:space="0"/>
            </w:tcBorders>
            <w:shd w:val="clear"/>
            <w:noWrap/>
            <w:vAlign w:val="center"/>
          </w:tcPr>
          <w:p w14:paraId="4EF5997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c>
          <w:tcPr>
            <w:tcW w:w="1722" w:type="dxa"/>
            <w:vMerge w:val="continue"/>
            <w:tcBorders>
              <w:top w:val="nil"/>
              <w:left w:val="single" w:color="000000" w:sz="4" w:space="0"/>
              <w:bottom w:val="nil"/>
              <w:right w:val="single" w:color="000000" w:sz="4" w:space="0"/>
            </w:tcBorders>
            <w:shd w:val="clear"/>
            <w:vAlign w:val="center"/>
          </w:tcPr>
          <w:p w14:paraId="6A5FCD2F">
            <w:pPr>
              <w:jc w:val="center"/>
              <w:rPr>
                <w:rFonts w:hint="eastAsia" w:ascii="黑体" w:hAnsi="宋体" w:eastAsia="黑体" w:cs="黑体"/>
                <w:i w:val="0"/>
                <w:iCs w:val="0"/>
                <w:color w:val="000000"/>
                <w:sz w:val="24"/>
                <w:szCs w:val="24"/>
                <w:u w:val="none"/>
              </w:rPr>
            </w:pPr>
          </w:p>
        </w:tc>
        <w:tc>
          <w:tcPr>
            <w:tcW w:w="3016" w:type="dxa"/>
            <w:tcBorders>
              <w:top w:val="single" w:color="000000" w:sz="4" w:space="0"/>
              <w:left w:val="single" w:color="000000" w:sz="4" w:space="0"/>
              <w:bottom w:val="single" w:color="000000" w:sz="4" w:space="0"/>
              <w:right w:val="single" w:color="000000" w:sz="4" w:space="0"/>
            </w:tcBorders>
            <w:shd w:val="clear"/>
            <w:vAlign w:val="center"/>
          </w:tcPr>
          <w:p w14:paraId="3A5B149E">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安全工程</w:t>
            </w:r>
          </w:p>
        </w:tc>
        <w:tc>
          <w:tcPr>
            <w:tcW w:w="3483" w:type="dxa"/>
            <w:tcBorders>
              <w:top w:val="nil"/>
              <w:left w:val="single" w:color="000000" w:sz="4" w:space="0"/>
              <w:bottom w:val="single" w:color="000000" w:sz="4" w:space="0"/>
              <w:right w:val="single" w:color="000000" w:sz="4" w:space="0"/>
            </w:tcBorders>
            <w:shd w:val="clear"/>
            <w:vAlign w:val="center"/>
          </w:tcPr>
          <w:p w14:paraId="7F89D6FF">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安全员岗</w:t>
            </w:r>
          </w:p>
        </w:tc>
      </w:tr>
      <w:tr w14:paraId="5DF528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99" w:hRule="atLeast"/>
        </w:trPr>
        <w:tc>
          <w:tcPr>
            <w:tcW w:w="0" w:type="auto"/>
            <w:tcBorders>
              <w:top w:val="single" w:color="000000" w:sz="4" w:space="0"/>
              <w:left w:val="single" w:color="000000" w:sz="4" w:space="0"/>
              <w:bottom w:val="single" w:color="000000" w:sz="4" w:space="0"/>
              <w:right w:val="single" w:color="000000" w:sz="4" w:space="0"/>
            </w:tcBorders>
            <w:shd w:val="clear"/>
            <w:noWrap/>
            <w:vAlign w:val="center"/>
          </w:tcPr>
          <w:p w14:paraId="6FB51A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w:t>
            </w:r>
          </w:p>
        </w:tc>
        <w:tc>
          <w:tcPr>
            <w:tcW w:w="1722" w:type="dxa"/>
            <w:vMerge w:val="continue"/>
            <w:tcBorders>
              <w:top w:val="nil"/>
              <w:left w:val="single" w:color="000000" w:sz="4" w:space="0"/>
              <w:bottom w:val="nil"/>
              <w:right w:val="single" w:color="000000" w:sz="4" w:space="0"/>
            </w:tcBorders>
            <w:shd w:val="clear"/>
            <w:vAlign w:val="center"/>
          </w:tcPr>
          <w:p w14:paraId="5DD3BF78">
            <w:pPr>
              <w:jc w:val="center"/>
              <w:rPr>
                <w:rFonts w:hint="eastAsia" w:ascii="黑体" w:hAnsi="宋体" w:eastAsia="黑体" w:cs="黑体"/>
                <w:i w:val="0"/>
                <w:iCs w:val="0"/>
                <w:color w:val="000000"/>
                <w:sz w:val="24"/>
                <w:szCs w:val="24"/>
                <w:u w:val="none"/>
              </w:rPr>
            </w:pPr>
          </w:p>
        </w:tc>
        <w:tc>
          <w:tcPr>
            <w:tcW w:w="3016" w:type="dxa"/>
            <w:tcBorders>
              <w:top w:val="single" w:color="000000" w:sz="4" w:space="0"/>
              <w:left w:val="single" w:color="000000" w:sz="4" w:space="0"/>
              <w:bottom w:val="single" w:color="000000" w:sz="4" w:space="0"/>
              <w:right w:val="single" w:color="000000" w:sz="4" w:space="0"/>
            </w:tcBorders>
            <w:shd w:val="clear"/>
            <w:vAlign w:val="center"/>
          </w:tcPr>
          <w:p w14:paraId="457A193F">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测绘工程</w:t>
            </w:r>
          </w:p>
        </w:tc>
        <w:tc>
          <w:tcPr>
            <w:tcW w:w="3483" w:type="dxa"/>
            <w:tcBorders>
              <w:top w:val="nil"/>
              <w:left w:val="single" w:color="000000" w:sz="4" w:space="0"/>
              <w:bottom w:val="single" w:color="000000" w:sz="4" w:space="0"/>
              <w:right w:val="single" w:color="000000" w:sz="4" w:space="0"/>
            </w:tcBorders>
            <w:shd w:val="clear"/>
            <w:vAlign w:val="center"/>
          </w:tcPr>
          <w:p w14:paraId="0991940D">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施工技术岗</w:t>
            </w:r>
          </w:p>
        </w:tc>
      </w:tr>
      <w:tr w14:paraId="698984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99" w:hRule="atLeast"/>
        </w:trPr>
        <w:tc>
          <w:tcPr>
            <w:tcW w:w="0" w:type="auto"/>
            <w:tcBorders>
              <w:top w:val="single" w:color="000000" w:sz="4" w:space="0"/>
              <w:left w:val="single" w:color="000000" w:sz="4" w:space="0"/>
              <w:bottom w:val="single" w:color="000000" w:sz="4" w:space="0"/>
              <w:right w:val="single" w:color="000000" w:sz="4" w:space="0"/>
            </w:tcBorders>
            <w:shd w:val="clear"/>
            <w:noWrap/>
            <w:vAlign w:val="center"/>
          </w:tcPr>
          <w:p w14:paraId="4982AC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6</w:t>
            </w:r>
          </w:p>
        </w:tc>
        <w:tc>
          <w:tcPr>
            <w:tcW w:w="1722" w:type="dxa"/>
            <w:vMerge w:val="restart"/>
            <w:tcBorders>
              <w:top w:val="single" w:color="000000" w:sz="4" w:space="0"/>
              <w:left w:val="single" w:color="000000" w:sz="4" w:space="0"/>
              <w:bottom w:val="single" w:color="000000" w:sz="4" w:space="0"/>
              <w:right w:val="single" w:color="000000" w:sz="4" w:space="0"/>
            </w:tcBorders>
            <w:shd w:val="clear"/>
            <w:vAlign w:val="center"/>
          </w:tcPr>
          <w:p w14:paraId="2A1E1BA0">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电气类</w:t>
            </w:r>
          </w:p>
        </w:tc>
        <w:tc>
          <w:tcPr>
            <w:tcW w:w="3016" w:type="dxa"/>
            <w:tcBorders>
              <w:top w:val="single" w:color="000000" w:sz="4" w:space="0"/>
              <w:left w:val="single" w:color="000000" w:sz="4" w:space="0"/>
              <w:bottom w:val="single" w:color="000000" w:sz="4" w:space="0"/>
              <w:right w:val="single" w:color="000000" w:sz="4" w:space="0"/>
            </w:tcBorders>
            <w:shd w:val="clear"/>
            <w:vAlign w:val="center"/>
          </w:tcPr>
          <w:p w14:paraId="10CC977D">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建筑电气与智能化</w:t>
            </w:r>
          </w:p>
        </w:tc>
        <w:tc>
          <w:tcPr>
            <w:tcW w:w="3483" w:type="dxa"/>
            <w:vMerge w:val="restart"/>
            <w:tcBorders>
              <w:top w:val="nil"/>
              <w:left w:val="single" w:color="000000" w:sz="4" w:space="0"/>
              <w:right w:val="single" w:color="000000" w:sz="4" w:space="0"/>
            </w:tcBorders>
            <w:shd w:val="clear"/>
            <w:vAlign w:val="center"/>
          </w:tcPr>
          <w:p w14:paraId="5DC4AA30">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技术质量岗</w:t>
            </w:r>
          </w:p>
        </w:tc>
      </w:tr>
      <w:tr w14:paraId="3D36DE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99" w:hRule="atLeast"/>
        </w:trPr>
        <w:tc>
          <w:tcPr>
            <w:tcW w:w="0" w:type="auto"/>
            <w:tcBorders>
              <w:top w:val="single" w:color="000000" w:sz="4" w:space="0"/>
              <w:left w:val="single" w:color="000000" w:sz="4" w:space="0"/>
              <w:bottom w:val="single" w:color="000000" w:sz="4" w:space="0"/>
              <w:right w:val="single" w:color="000000" w:sz="4" w:space="0"/>
            </w:tcBorders>
            <w:shd w:val="clear"/>
            <w:noWrap/>
            <w:vAlign w:val="center"/>
          </w:tcPr>
          <w:p w14:paraId="4E8A09A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7</w:t>
            </w:r>
          </w:p>
        </w:tc>
        <w:tc>
          <w:tcPr>
            <w:tcW w:w="1722" w:type="dxa"/>
            <w:vMerge w:val="continue"/>
            <w:tcBorders>
              <w:top w:val="single" w:color="000000" w:sz="4" w:space="0"/>
              <w:left w:val="single" w:color="000000" w:sz="4" w:space="0"/>
              <w:bottom w:val="single" w:color="000000" w:sz="4" w:space="0"/>
              <w:right w:val="single" w:color="000000" w:sz="4" w:space="0"/>
            </w:tcBorders>
            <w:shd w:val="clear"/>
            <w:vAlign w:val="center"/>
          </w:tcPr>
          <w:p w14:paraId="25D32641">
            <w:pPr>
              <w:jc w:val="center"/>
              <w:rPr>
                <w:rFonts w:hint="eastAsia" w:ascii="黑体" w:hAnsi="宋体" w:eastAsia="黑体" w:cs="黑体"/>
                <w:i w:val="0"/>
                <w:iCs w:val="0"/>
                <w:color w:val="000000"/>
                <w:sz w:val="24"/>
                <w:szCs w:val="24"/>
                <w:u w:val="none"/>
              </w:rPr>
            </w:pPr>
          </w:p>
        </w:tc>
        <w:tc>
          <w:tcPr>
            <w:tcW w:w="3016" w:type="dxa"/>
            <w:tcBorders>
              <w:top w:val="single" w:color="000000" w:sz="4" w:space="0"/>
              <w:left w:val="single" w:color="000000" w:sz="4" w:space="0"/>
              <w:bottom w:val="single" w:color="000000" w:sz="4" w:space="0"/>
              <w:right w:val="single" w:color="000000" w:sz="4" w:space="0"/>
            </w:tcBorders>
            <w:shd w:val="clear"/>
            <w:vAlign w:val="center"/>
          </w:tcPr>
          <w:p w14:paraId="0156517C">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电气工程及自动化</w:t>
            </w:r>
          </w:p>
        </w:tc>
        <w:tc>
          <w:tcPr>
            <w:tcW w:w="3483" w:type="dxa"/>
            <w:vMerge w:val="continue"/>
            <w:tcBorders>
              <w:left w:val="single" w:color="000000" w:sz="4" w:space="0"/>
              <w:right w:val="single" w:color="000000" w:sz="4" w:space="0"/>
            </w:tcBorders>
            <w:shd w:val="clear"/>
            <w:vAlign w:val="center"/>
          </w:tcPr>
          <w:p w14:paraId="16E90741">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p>
        </w:tc>
      </w:tr>
      <w:tr w14:paraId="470E50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99" w:hRule="atLeast"/>
        </w:trPr>
        <w:tc>
          <w:tcPr>
            <w:tcW w:w="0" w:type="auto"/>
            <w:tcBorders>
              <w:top w:val="single" w:color="000000" w:sz="4" w:space="0"/>
              <w:left w:val="single" w:color="000000" w:sz="4" w:space="0"/>
              <w:bottom w:val="single" w:color="000000" w:sz="4" w:space="0"/>
              <w:right w:val="single" w:color="000000" w:sz="4" w:space="0"/>
            </w:tcBorders>
            <w:shd w:val="clear"/>
            <w:noWrap/>
            <w:vAlign w:val="center"/>
          </w:tcPr>
          <w:p w14:paraId="614F74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8</w:t>
            </w:r>
          </w:p>
        </w:tc>
        <w:tc>
          <w:tcPr>
            <w:tcW w:w="1722" w:type="dxa"/>
            <w:vMerge w:val="restart"/>
            <w:tcBorders>
              <w:top w:val="single" w:color="000000" w:sz="4" w:space="0"/>
              <w:left w:val="single" w:color="000000" w:sz="4" w:space="0"/>
              <w:bottom w:val="single" w:color="000000" w:sz="4" w:space="0"/>
              <w:right w:val="single" w:color="000000" w:sz="4" w:space="0"/>
            </w:tcBorders>
            <w:shd w:val="clear"/>
            <w:vAlign w:val="center"/>
          </w:tcPr>
          <w:p w14:paraId="1DEC0BA9">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机械安装类</w:t>
            </w:r>
          </w:p>
        </w:tc>
        <w:tc>
          <w:tcPr>
            <w:tcW w:w="3016" w:type="dxa"/>
            <w:tcBorders>
              <w:top w:val="single" w:color="000000" w:sz="4" w:space="0"/>
              <w:left w:val="single" w:color="000000" w:sz="4" w:space="0"/>
              <w:bottom w:val="single" w:color="000000" w:sz="4" w:space="0"/>
              <w:right w:val="single" w:color="000000" w:sz="4" w:space="0"/>
            </w:tcBorders>
            <w:shd w:val="clear"/>
            <w:vAlign w:val="center"/>
          </w:tcPr>
          <w:p w14:paraId="4C5AEB5B">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给排水工程</w:t>
            </w:r>
          </w:p>
        </w:tc>
        <w:tc>
          <w:tcPr>
            <w:tcW w:w="3483" w:type="dxa"/>
            <w:vMerge w:val="continue"/>
            <w:tcBorders>
              <w:left w:val="single" w:color="000000" w:sz="4" w:space="0"/>
              <w:bottom w:val="single" w:color="000000" w:sz="4" w:space="0"/>
              <w:right w:val="single" w:color="000000" w:sz="4" w:space="0"/>
            </w:tcBorders>
            <w:shd w:val="clear"/>
            <w:vAlign w:val="center"/>
          </w:tcPr>
          <w:p w14:paraId="18C04EDA">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p>
        </w:tc>
      </w:tr>
      <w:tr w14:paraId="79B3D6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noWrap/>
            <w:vAlign w:val="center"/>
          </w:tcPr>
          <w:p w14:paraId="082662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9</w:t>
            </w:r>
          </w:p>
        </w:tc>
        <w:tc>
          <w:tcPr>
            <w:tcW w:w="1722" w:type="dxa"/>
            <w:vMerge w:val="continue"/>
            <w:tcBorders>
              <w:top w:val="single" w:color="000000" w:sz="4" w:space="0"/>
              <w:left w:val="single" w:color="000000" w:sz="4" w:space="0"/>
              <w:bottom w:val="single" w:color="000000" w:sz="4" w:space="0"/>
              <w:right w:val="single" w:color="000000" w:sz="4" w:space="0"/>
            </w:tcBorders>
            <w:shd w:val="clear"/>
            <w:vAlign w:val="center"/>
          </w:tcPr>
          <w:p w14:paraId="1F1281DE">
            <w:pPr>
              <w:jc w:val="center"/>
              <w:rPr>
                <w:rFonts w:hint="eastAsia" w:ascii="黑体" w:hAnsi="宋体" w:eastAsia="黑体" w:cs="黑体"/>
                <w:i w:val="0"/>
                <w:iCs w:val="0"/>
                <w:color w:val="000000"/>
                <w:sz w:val="24"/>
                <w:szCs w:val="24"/>
                <w:u w:val="none"/>
              </w:rPr>
            </w:pPr>
          </w:p>
        </w:tc>
        <w:tc>
          <w:tcPr>
            <w:tcW w:w="3016" w:type="dxa"/>
            <w:tcBorders>
              <w:top w:val="single" w:color="000000" w:sz="4" w:space="0"/>
              <w:left w:val="single" w:color="000000" w:sz="4" w:space="0"/>
              <w:bottom w:val="single" w:color="000000" w:sz="4" w:space="0"/>
              <w:right w:val="single" w:color="000000" w:sz="4" w:space="0"/>
            </w:tcBorders>
            <w:shd w:val="clear"/>
            <w:vAlign w:val="center"/>
          </w:tcPr>
          <w:p w14:paraId="4866DB69">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过程装备与控制工程</w:t>
            </w:r>
          </w:p>
        </w:tc>
        <w:tc>
          <w:tcPr>
            <w:tcW w:w="3483" w:type="dxa"/>
            <w:vMerge w:val="restart"/>
            <w:tcBorders>
              <w:top w:val="nil"/>
              <w:left w:val="single" w:color="000000" w:sz="4" w:space="0"/>
              <w:right w:val="single" w:color="000000" w:sz="4" w:space="0"/>
            </w:tcBorders>
            <w:shd w:val="clear"/>
            <w:vAlign w:val="center"/>
          </w:tcPr>
          <w:p w14:paraId="2212C8C8">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施工技术岗</w:t>
            </w:r>
          </w:p>
        </w:tc>
      </w:tr>
      <w:tr w14:paraId="13ADBC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99" w:hRule="atLeast"/>
        </w:trPr>
        <w:tc>
          <w:tcPr>
            <w:tcW w:w="0" w:type="auto"/>
            <w:tcBorders>
              <w:top w:val="single" w:color="000000" w:sz="4" w:space="0"/>
              <w:left w:val="single" w:color="000000" w:sz="4" w:space="0"/>
              <w:bottom w:val="single" w:color="000000" w:sz="4" w:space="0"/>
              <w:right w:val="single" w:color="000000" w:sz="4" w:space="0"/>
            </w:tcBorders>
            <w:shd w:val="clear"/>
            <w:noWrap/>
            <w:vAlign w:val="center"/>
          </w:tcPr>
          <w:p w14:paraId="70BEE1F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10</w:t>
            </w:r>
          </w:p>
        </w:tc>
        <w:tc>
          <w:tcPr>
            <w:tcW w:w="1722" w:type="dxa"/>
            <w:vMerge w:val="continue"/>
            <w:tcBorders>
              <w:top w:val="single" w:color="000000" w:sz="4" w:space="0"/>
              <w:left w:val="single" w:color="000000" w:sz="4" w:space="0"/>
              <w:bottom w:val="single" w:color="000000" w:sz="4" w:space="0"/>
              <w:right w:val="single" w:color="000000" w:sz="4" w:space="0"/>
            </w:tcBorders>
            <w:shd w:val="clear"/>
            <w:vAlign w:val="center"/>
          </w:tcPr>
          <w:p w14:paraId="76C929A1">
            <w:pPr>
              <w:jc w:val="center"/>
              <w:rPr>
                <w:rFonts w:hint="eastAsia" w:ascii="黑体" w:hAnsi="宋体" w:eastAsia="黑体" w:cs="黑体"/>
                <w:i w:val="0"/>
                <w:iCs w:val="0"/>
                <w:color w:val="000000"/>
                <w:sz w:val="24"/>
                <w:szCs w:val="24"/>
                <w:u w:val="none"/>
              </w:rPr>
            </w:pPr>
          </w:p>
        </w:tc>
        <w:tc>
          <w:tcPr>
            <w:tcW w:w="3016" w:type="dxa"/>
            <w:tcBorders>
              <w:top w:val="single" w:color="000000" w:sz="4" w:space="0"/>
              <w:left w:val="single" w:color="000000" w:sz="4" w:space="0"/>
              <w:bottom w:val="single" w:color="000000" w:sz="4" w:space="0"/>
              <w:right w:val="single" w:color="000000" w:sz="4" w:space="0"/>
            </w:tcBorders>
            <w:shd w:val="clear"/>
            <w:vAlign w:val="center"/>
          </w:tcPr>
          <w:p w14:paraId="0B3DF15F">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暖通工程</w:t>
            </w:r>
          </w:p>
        </w:tc>
        <w:tc>
          <w:tcPr>
            <w:tcW w:w="3483" w:type="dxa"/>
            <w:vMerge w:val="continue"/>
            <w:tcBorders>
              <w:left w:val="single" w:color="000000" w:sz="4" w:space="0"/>
              <w:right w:val="single" w:color="000000" w:sz="4" w:space="0"/>
            </w:tcBorders>
            <w:shd w:val="clear"/>
            <w:vAlign w:val="center"/>
          </w:tcPr>
          <w:p w14:paraId="28639A82">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p>
        </w:tc>
      </w:tr>
      <w:tr w14:paraId="30D599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99" w:hRule="atLeast"/>
        </w:trPr>
        <w:tc>
          <w:tcPr>
            <w:tcW w:w="0" w:type="auto"/>
            <w:tcBorders>
              <w:top w:val="single" w:color="000000" w:sz="4" w:space="0"/>
              <w:left w:val="single" w:color="000000" w:sz="4" w:space="0"/>
              <w:bottom w:val="single" w:color="000000" w:sz="4" w:space="0"/>
              <w:right w:val="single" w:color="000000" w:sz="4" w:space="0"/>
            </w:tcBorders>
            <w:shd w:val="clear"/>
            <w:noWrap/>
            <w:vAlign w:val="center"/>
          </w:tcPr>
          <w:p w14:paraId="2ED172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w:t>
            </w:r>
          </w:p>
        </w:tc>
        <w:tc>
          <w:tcPr>
            <w:tcW w:w="1722" w:type="dxa"/>
            <w:vMerge w:val="continue"/>
            <w:tcBorders>
              <w:top w:val="single" w:color="000000" w:sz="4" w:space="0"/>
              <w:left w:val="single" w:color="000000" w:sz="4" w:space="0"/>
              <w:bottom w:val="single" w:color="000000" w:sz="4" w:space="0"/>
              <w:right w:val="single" w:color="000000" w:sz="4" w:space="0"/>
            </w:tcBorders>
            <w:shd w:val="clear"/>
            <w:vAlign w:val="center"/>
          </w:tcPr>
          <w:p w14:paraId="57411A3B">
            <w:pPr>
              <w:jc w:val="center"/>
              <w:rPr>
                <w:rFonts w:hint="eastAsia" w:ascii="黑体" w:hAnsi="宋体" w:eastAsia="黑体" w:cs="黑体"/>
                <w:i w:val="0"/>
                <w:iCs w:val="0"/>
                <w:color w:val="000000"/>
                <w:sz w:val="24"/>
                <w:szCs w:val="24"/>
                <w:u w:val="none"/>
              </w:rPr>
            </w:pPr>
          </w:p>
        </w:tc>
        <w:tc>
          <w:tcPr>
            <w:tcW w:w="3016" w:type="dxa"/>
            <w:tcBorders>
              <w:top w:val="single" w:color="000000" w:sz="4" w:space="0"/>
              <w:left w:val="single" w:color="000000" w:sz="4" w:space="0"/>
              <w:bottom w:val="single" w:color="000000" w:sz="4" w:space="0"/>
              <w:right w:val="single" w:color="000000" w:sz="4" w:space="0"/>
            </w:tcBorders>
            <w:shd w:val="clear"/>
            <w:vAlign w:val="center"/>
          </w:tcPr>
          <w:p w14:paraId="56325441">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焊接技术与工程</w:t>
            </w:r>
          </w:p>
        </w:tc>
        <w:tc>
          <w:tcPr>
            <w:tcW w:w="3483" w:type="dxa"/>
            <w:vMerge w:val="continue"/>
            <w:tcBorders>
              <w:left w:val="single" w:color="000000" w:sz="4" w:space="0"/>
              <w:bottom w:val="single" w:color="000000" w:sz="4" w:space="0"/>
              <w:right w:val="single" w:color="000000" w:sz="4" w:space="0"/>
            </w:tcBorders>
            <w:shd w:val="clear"/>
            <w:vAlign w:val="center"/>
          </w:tcPr>
          <w:p w14:paraId="298FDEDB">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p>
        </w:tc>
      </w:tr>
      <w:tr w14:paraId="08C74A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noWrap/>
            <w:vAlign w:val="center"/>
          </w:tcPr>
          <w:p w14:paraId="0EE7D0A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12</w:t>
            </w:r>
          </w:p>
        </w:tc>
        <w:tc>
          <w:tcPr>
            <w:tcW w:w="1722" w:type="dxa"/>
            <w:vMerge w:val="restart"/>
            <w:tcBorders>
              <w:top w:val="single" w:color="000000" w:sz="4" w:space="0"/>
              <w:left w:val="single" w:color="000000" w:sz="4" w:space="0"/>
              <w:bottom w:val="single" w:color="000000" w:sz="4" w:space="0"/>
              <w:right w:val="single" w:color="000000" w:sz="4" w:space="0"/>
            </w:tcBorders>
            <w:shd w:val="clear"/>
            <w:vAlign w:val="center"/>
          </w:tcPr>
          <w:p w14:paraId="342F50C5">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管理类</w:t>
            </w:r>
          </w:p>
        </w:tc>
        <w:tc>
          <w:tcPr>
            <w:tcW w:w="3016" w:type="dxa"/>
            <w:tcBorders>
              <w:top w:val="single" w:color="000000" w:sz="4" w:space="0"/>
              <w:left w:val="single" w:color="000000" w:sz="4" w:space="0"/>
              <w:bottom w:val="single" w:color="auto" w:sz="4" w:space="0"/>
              <w:right w:val="single" w:color="000000" w:sz="4" w:space="0"/>
            </w:tcBorders>
            <w:shd w:val="clear"/>
            <w:vAlign w:val="center"/>
          </w:tcPr>
          <w:p w14:paraId="42AFC4B0">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汉语言文学（思想政治/马列主义/行政管理/新闻宣传/文秘等）</w:t>
            </w:r>
          </w:p>
        </w:tc>
        <w:tc>
          <w:tcPr>
            <w:tcW w:w="3483" w:type="dxa"/>
            <w:tcBorders>
              <w:top w:val="nil"/>
              <w:left w:val="single" w:color="000000" w:sz="4" w:space="0"/>
              <w:bottom w:val="single" w:color="auto" w:sz="4" w:space="0"/>
              <w:right w:val="single" w:color="000000" w:sz="4" w:space="0"/>
            </w:tcBorders>
            <w:shd w:val="clear"/>
            <w:vAlign w:val="center"/>
          </w:tcPr>
          <w:p w14:paraId="1E9DEEED">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党建岗</w:t>
            </w:r>
          </w:p>
        </w:tc>
      </w:tr>
      <w:tr w14:paraId="6A3E17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99" w:hRule="atLeast"/>
        </w:trPr>
        <w:tc>
          <w:tcPr>
            <w:tcW w:w="0" w:type="auto"/>
            <w:tcBorders>
              <w:top w:val="single" w:color="000000" w:sz="4" w:space="0"/>
              <w:left w:val="single" w:color="000000" w:sz="4" w:space="0"/>
              <w:bottom w:val="single" w:color="000000" w:sz="4" w:space="0"/>
              <w:right w:val="single" w:color="000000" w:sz="4" w:space="0"/>
            </w:tcBorders>
            <w:shd w:val="clear"/>
            <w:noWrap/>
            <w:vAlign w:val="center"/>
          </w:tcPr>
          <w:p w14:paraId="0370D1F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w:t>
            </w:r>
          </w:p>
        </w:tc>
        <w:tc>
          <w:tcPr>
            <w:tcW w:w="1722" w:type="dxa"/>
            <w:vMerge w:val="continue"/>
            <w:tcBorders>
              <w:top w:val="single" w:color="000000" w:sz="4" w:space="0"/>
              <w:left w:val="single" w:color="000000" w:sz="4" w:space="0"/>
              <w:bottom w:val="single" w:color="000000" w:sz="4" w:space="0"/>
              <w:right w:val="single" w:color="auto" w:sz="4" w:space="0"/>
            </w:tcBorders>
            <w:shd w:val="clear"/>
            <w:vAlign w:val="center"/>
          </w:tcPr>
          <w:p w14:paraId="3B76684E">
            <w:pPr>
              <w:jc w:val="center"/>
              <w:rPr>
                <w:rFonts w:hint="eastAsia" w:ascii="黑体" w:hAnsi="宋体" w:eastAsia="黑体" w:cs="黑体"/>
                <w:i w:val="0"/>
                <w:iCs w:val="0"/>
                <w:color w:val="000000"/>
                <w:sz w:val="24"/>
                <w:szCs w:val="24"/>
                <w:u w:val="none"/>
              </w:rPr>
            </w:pPr>
          </w:p>
        </w:tc>
        <w:tc>
          <w:tcPr>
            <w:tcW w:w="3016" w:type="dxa"/>
            <w:tcBorders>
              <w:top w:val="single" w:color="auto" w:sz="4" w:space="0"/>
              <w:left w:val="single" w:color="auto" w:sz="4" w:space="0"/>
              <w:bottom w:val="single" w:color="auto" w:sz="4" w:space="0"/>
              <w:right w:val="single" w:color="000000" w:sz="4" w:space="0"/>
            </w:tcBorders>
            <w:shd w:val="clear"/>
            <w:vAlign w:val="center"/>
          </w:tcPr>
          <w:p w14:paraId="70D85F25">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人力资源管理</w:t>
            </w:r>
          </w:p>
        </w:tc>
        <w:tc>
          <w:tcPr>
            <w:tcW w:w="3483" w:type="dxa"/>
            <w:tcBorders>
              <w:top w:val="single" w:color="auto" w:sz="4" w:space="0"/>
              <w:left w:val="single" w:color="000000" w:sz="4" w:space="0"/>
              <w:bottom w:val="single" w:color="auto" w:sz="4" w:space="0"/>
              <w:right w:val="single" w:color="auto" w:sz="4" w:space="0"/>
            </w:tcBorders>
            <w:shd w:val="clear"/>
            <w:vAlign w:val="center"/>
          </w:tcPr>
          <w:p w14:paraId="1C2AD8AB">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人力资源管理岗</w:t>
            </w:r>
          </w:p>
        </w:tc>
      </w:tr>
    </w:tbl>
    <w:p w14:paraId="7D7C9FC3">
      <w:pPr>
        <w:spacing w:line="560" w:lineRule="exact"/>
        <w:rPr>
          <w:rFonts w:hint="eastAsia" w:ascii="黑体" w:hAnsi="黑体" w:eastAsia="黑体"/>
          <w:b/>
          <w:bCs/>
          <w:sz w:val="32"/>
          <w:szCs w:val="32"/>
        </w:rPr>
      </w:pPr>
      <w:r>
        <w:rPr>
          <w:rFonts w:hint="eastAsia" w:ascii="黑体" w:hAnsi="黑体" w:eastAsia="黑体"/>
          <w:b/>
          <w:bCs/>
          <w:sz w:val="32"/>
          <w:szCs w:val="32"/>
        </w:rPr>
        <w:t>招聘流程</w:t>
      </w:r>
    </w:p>
    <w:p w14:paraId="515F7D3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rPr>
        <w:t>公司统一采用校园宣讲方式开展招聘工作。</w:t>
      </w:r>
    </w:p>
    <w:p w14:paraId="213D90C5">
      <w:pPr>
        <w:keepNext w:val="0"/>
        <w:keepLines w:val="0"/>
        <w:pageBreakBefore w:val="0"/>
        <w:widowControl w:val="0"/>
        <w:kinsoku/>
        <w:wordWrap/>
        <w:overflowPunct/>
        <w:topLinePunct w:val="0"/>
        <w:autoSpaceDE/>
        <w:autoSpaceDN/>
        <w:bidi w:val="0"/>
        <w:adjustRightInd/>
        <w:snapToGrid/>
        <w:spacing w:line="560" w:lineRule="exact"/>
        <w:ind w:firstLine="630" w:firstLineChars="300"/>
        <w:textAlignment w:val="auto"/>
        <w:rPr>
          <w:rFonts w:hint="eastAsia" w:ascii="仿宋" w:hAnsi="仿宋" w:eastAsia="仿宋" w:cs="仿宋"/>
          <w:b w:val="0"/>
          <w:bCs w:val="0"/>
          <w:sz w:val="32"/>
          <w:szCs w:val="32"/>
        </w:rPr>
      </w:pPr>
      <w:r>
        <w:drawing>
          <wp:anchor distT="0" distB="0" distL="114300" distR="114300" simplePos="0" relativeHeight="251659264" behindDoc="0" locked="0" layoutInCell="1" allowOverlap="1">
            <wp:simplePos x="0" y="0"/>
            <wp:positionH relativeFrom="column">
              <wp:posOffset>4248150</wp:posOffset>
            </wp:positionH>
            <wp:positionV relativeFrom="paragraph">
              <wp:posOffset>725170</wp:posOffset>
            </wp:positionV>
            <wp:extent cx="1282065" cy="1282065"/>
            <wp:effectExtent l="0" t="0" r="13335" b="13335"/>
            <wp:wrapSquare wrapText="bothSides"/>
            <wp:docPr id="2" name="图片 1" descr="校招岗位二维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校招岗位二维码"/>
                    <pic:cNvPicPr>
                      <a:picLocks noChangeAspect="1"/>
                    </pic:cNvPicPr>
                  </pic:nvPicPr>
                  <pic:blipFill>
                    <a:blip r:embed="rId4"/>
                    <a:stretch>
                      <a:fillRect/>
                    </a:stretch>
                  </pic:blipFill>
                  <pic:spPr>
                    <a:xfrm>
                      <a:off x="0" y="0"/>
                      <a:ext cx="1282065" cy="1282065"/>
                    </a:xfrm>
                    <a:prstGeom prst="rect">
                      <a:avLst/>
                    </a:prstGeom>
                  </pic:spPr>
                </pic:pic>
              </a:graphicData>
            </a:graphic>
          </wp:anchor>
        </w:drawing>
      </w:r>
      <w:r>
        <w:rPr>
          <w:rFonts w:hint="eastAsia" w:ascii="仿宋" w:hAnsi="仿宋" w:eastAsia="仿宋" w:cs="仿宋"/>
          <w:b w:val="0"/>
          <w:bCs w:val="0"/>
          <w:sz w:val="32"/>
          <w:szCs w:val="32"/>
        </w:rPr>
        <w:t>1.校园宣讲会现场投递。</w:t>
      </w:r>
    </w:p>
    <w:p w14:paraId="1DFE916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rPr>
        <w:t>2.PC端网址：http://cnecc.zhiye.com</w:t>
      </w:r>
    </w:p>
    <w:p w14:paraId="7AB40A6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rPr>
        <w:t>3.移动端：扫描二维码投递。</w:t>
      </w:r>
    </w:p>
    <w:p w14:paraId="0C4422DD">
      <w:pPr>
        <w:spacing w:line="560" w:lineRule="exact"/>
        <w:rPr>
          <w:rFonts w:hint="eastAsia" w:ascii="黑体" w:hAnsi="黑体" w:eastAsia="黑体"/>
          <w:b/>
          <w:bCs/>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FE628A5"/>
    <w:multiLevelType w:val="multilevel"/>
    <w:tmpl w:val="6FE628A5"/>
    <w:lvl w:ilvl="0" w:tentative="0">
      <w:start w:val="1"/>
      <w:numFmt w:val="bullet"/>
      <w:lvlText w:val=""/>
      <w:lvlJc w:val="left"/>
      <w:pPr>
        <w:ind w:left="1060" w:hanging="420"/>
      </w:pPr>
      <w:rPr>
        <w:rFonts w:hint="default" w:ascii="Wingdings" w:hAnsi="Wingdings"/>
      </w:rPr>
    </w:lvl>
    <w:lvl w:ilvl="1" w:tentative="0">
      <w:start w:val="1"/>
      <w:numFmt w:val="bullet"/>
      <w:lvlText w:val=""/>
      <w:lvlJc w:val="left"/>
      <w:pPr>
        <w:ind w:left="1480" w:hanging="420"/>
      </w:pPr>
      <w:rPr>
        <w:rFonts w:hint="default" w:ascii="Wingdings" w:hAnsi="Wingdings"/>
      </w:rPr>
    </w:lvl>
    <w:lvl w:ilvl="2" w:tentative="0">
      <w:start w:val="1"/>
      <w:numFmt w:val="bullet"/>
      <w:lvlText w:val=""/>
      <w:lvlJc w:val="left"/>
      <w:pPr>
        <w:ind w:left="1900" w:hanging="420"/>
      </w:pPr>
      <w:rPr>
        <w:rFonts w:hint="default" w:ascii="Wingdings" w:hAnsi="Wingdings"/>
      </w:rPr>
    </w:lvl>
    <w:lvl w:ilvl="3" w:tentative="0">
      <w:start w:val="1"/>
      <w:numFmt w:val="bullet"/>
      <w:lvlText w:val=""/>
      <w:lvlJc w:val="left"/>
      <w:pPr>
        <w:ind w:left="2320" w:hanging="420"/>
      </w:pPr>
      <w:rPr>
        <w:rFonts w:hint="default" w:ascii="Wingdings" w:hAnsi="Wingdings"/>
      </w:rPr>
    </w:lvl>
    <w:lvl w:ilvl="4" w:tentative="0">
      <w:start w:val="1"/>
      <w:numFmt w:val="bullet"/>
      <w:lvlText w:val=""/>
      <w:lvlJc w:val="left"/>
      <w:pPr>
        <w:ind w:left="2740" w:hanging="420"/>
      </w:pPr>
      <w:rPr>
        <w:rFonts w:hint="default" w:ascii="Wingdings" w:hAnsi="Wingdings"/>
      </w:rPr>
    </w:lvl>
    <w:lvl w:ilvl="5" w:tentative="0">
      <w:start w:val="1"/>
      <w:numFmt w:val="bullet"/>
      <w:lvlText w:val=""/>
      <w:lvlJc w:val="left"/>
      <w:pPr>
        <w:ind w:left="3160" w:hanging="420"/>
      </w:pPr>
      <w:rPr>
        <w:rFonts w:hint="default" w:ascii="Wingdings" w:hAnsi="Wingdings"/>
      </w:rPr>
    </w:lvl>
    <w:lvl w:ilvl="6" w:tentative="0">
      <w:start w:val="1"/>
      <w:numFmt w:val="bullet"/>
      <w:lvlText w:val=""/>
      <w:lvlJc w:val="left"/>
      <w:pPr>
        <w:ind w:left="3580" w:hanging="420"/>
      </w:pPr>
      <w:rPr>
        <w:rFonts w:hint="default" w:ascii="Wingdings" w:hAnsi="Wingdings"/>
      </w:rPr>
    </w:lvl>
    <w:lvl w:ilvl="7" w:tentative="0">
      <w:start w:val="1"/>
      <w:numFmt w:val="bullet"/>
      <w:lvlText w:val=""/>
      <w:lvlJc w:val="left"/>
      <w:pPr>
        <w:ind w:left="4000" w:hanging="420"/>
      </w:pPr>
      <w:rPr>
        <w:rFonts w:hint="default" w:ascii="Wingdings" w:hAnsi="Wingdings"/>
      </w:rPr>
    </w:lvl>
    <w:lvl w:ilvl="8" w:tentative="0">
      <w:start w:val="1"/>
      <w:numFmt w:val="bullet"/>
      <w:lvlText w:val=""/>
      <w:lvlJc w:val="left"/>
      <w:pPr>
        <w:ind w:left="4420"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g4NTc3MTlmNjI0MWY5NzVmMGQzNmRiNGI5ZDA5NjAifQ=="/>
  </w:docVars>
  <w:rsids>
    <w:rsidRoot w:val="00000000"/>
    <w:rsid w:val="001D4206"/>
    <w:rsid w:val="01A81F87"/>
    <w:rsid w:val="02116C01"/>
    <w:rsid w:val="03C66B23"/>
    <w:rsid w:val="072453D0"/>
    <w:rsid w:val="0C8E655E"/>
    <w:rsid w:val="0CFD33F5"/>
    <w:rsid w:val="118D0242"/>
    <w:rsid w:val="13A41857"/>
    <w:rsid w:val="15AA008C"/>
    <w:rsid w:val="16633A9A"/>
    <w:rsid w:val="16A6065A"/>
    <w:rsid w:val="17D376E9"/>
    <w:rsid w:val="1A150958"/>
    <w:rsid w:val="1C4F3541"/>
    <w:rsid w:val="1C9B0535"/>
    <w:rsid w:val="1CE11AEA"/>
    <w:rsid w:val="20A43E5C"/>
    <w:rsid w:val="24CA7C09"/>
    <w:rsid w:val="24E83738"/>
    <w:rsid w:val="269E134D"/>
    <w:rsid w:val="295126A7"/>
    <w:rsid w:val="2AE7761F"/>
    <w:rsid w:val="2B72228C"/>
    <w:rsid w:val="2BD33847"/>
    <w:rsid w:val="2E124508"/>
    <w:rsid w:val="2F590507"/>
    <w:rsid w:val="2FE51D65"/>
    <w:rsid w:val="30EB1EB0"/>
    <w:rsid w:val="313F372D"/>
    <w:rsid w:val="31D46055"/>
    <w:rsid w:val="31E73323"/>
    <w:rsid w:val="337A0826"/>
    <w:rsid w:val="3471591A"/>
    <w:rsid w:val="35CE6827"/>
    <w:rsid w:val="38356854"/>
    <w:rsid w:val="3AF47336"/>
    <w:rsid w:val="3B2A5E9F"/>
    <w:rsid w:val="3B766366"/>
    <w:rsid w:val="3CDE3E6E"/>
    <w:rsid w:val="3D377310"/>
    <w:rsid w:val="3ECD0F55"/>
    <w:rsid w:val="40243B49"/>
    <w:rsid w:val="403A3A3D"/>
    <w:rsid w:val="419D24D5"/>
    <w:rsid w:val="41A73745"/>
    <w:rsid w:val="41B17214"/>
    <w:rsid w:val="42892335"/>
    <w:rsid w:val="428947DF"/>
    <w:rsid w:val="429C3EEA"/>
    <w:rsid w:val="452C6422"/>
    <w:rsid w:val="47491F35"/>
    <w:rsid w:val="4776082D"/>
    <w:rsid w:val="47E50C7D"/>
    <w:rsid w:val="49AE6536"/>
    <w:rsid w:val="49CE4C6E"/>
    <w:rsid w:val="4B0D5BDD"/>
    <w:rsid w:val="4C100929"/>
    <w:rsid w:val="4D5048A0"/>
    <w:rsid w:val="4D573687"/>
    <w:rsid w:val="4E4A5793"/>
    <w:rsid w:val="51E952C3"/>
    <w:rsid w:val="53FA5565"/>
    <w:rsid w:val="554621A4"/>
    <w:rsid w:val="56A53184"/>
    <w:rsid w:val="58452D54"/>
    <w:rsid w:val="5C771211"/>
    <w:rsid w:val="5CC130C4"/>
    <w:rsid w:val="62301A48"/>
    <w:rsid w:val="66A01F9C"/>
    <w:rsid w:val="672E60C3"/>
    <w:rsid w:val="67BD6B7E"/>
    <w:rsid w:val="6821367C"/>
    <w:rsid w:val="68802085"/>
    <w:rsid w:val="698028F6"/>
    <w:rsid w:val="69D7022E"/>
    <w:rsid w:val="6BA936A1"/>
    <w:rsid w:val="6DA5433C"/>
    <w:rsid w:val="6E46167B"/>
    <w:rsid w:val="6F295A94"/>
    <w:rsid w:val="72BE5767"/>
    <w:rsid w:val="74757454"/>
    <w:rsid w:val="747633E2"/>
    <w:rsid w:val="751F51CB"/>
    <w:rsid w:val="76E82204"/>
    <w:rsid w:val="77E81F46"/>
    <w:rsid w:val="79336CA0"/>
    <w:rsid w:val="7ADE2C3C"/>
    <w:rsid w:val="7C4A528C"/>
    <w:rsid w:val="7DAF3631"/>
    <w:rsid w:val="7F2175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inden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
    <w:name w:val="Body text|1"/>
    <w:basedOn w:val="1"/>
    <w:qFormat/>
    <w:uiPriority w:val="0"/>
    <w:pPr>
      <w:widowControl w:val="0"/>
      <w:shd w:val="clear" w:color="auto" w:fill="auto"/>
      <w:spacing w:line="394" w:lineRule="auto"/>
      <w:ind w:firstLine="400"/>
    </w:pPr>
    <w:rPr>
      <w:rFonts w:ascii="宋体" w:hAnsi="宋体" w:eastAsia="宋体" w:cs="宋体"/>
      <w:sz w:val="30"/>
      <w:szCs w:val="30"/>
      <w:u w:val="none"/>
      <w:shd w:val="clear" w:color="auto" w:fill="auto"/>
      <w:lang w:val="zh-TW" w:eastAsia="zh-TW" w:bidi="zh-TW"/>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1340</Words>
  <Characters>1383</Characters>
  <Lines>0</Lines>
  <Paragraphs>0</Paragraphs>
  <TotalTime>11</TotalTime>
  <ScaleCrop>false</ScaleCrop>
  <LinksUpToDate>false</LinksUpToDate>
  <CharactersWithSpaces>1383</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2023-02-07T07:39:00Z</dcterms:created>
  <dc:creator>zhangyujia</dc:creator>
  <cp:lastModifiedBy>张雨佳</cp:lastModifiedBy>
  <dcterms:modified xsi:type="dcterms:W3CDTF">2024-09-19T05:35:29Z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CFC10F67F6CC4A25BC6676D75586B8D7</vt:lpwstr>
  </property>
</Properties>
</file>