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46EF" w14:textId="77777777" w:rsidR="00E36B13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西南医科大学2024年诚聘海内外英才</w:t>
      </w:r>
    </w:p>
    <w:p w14:paraId="2BE62325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19"/>
          <w:szCs w:val="19"/>
        </w:rPr>
      </w:pP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西南医科大学是四川省省属普通高等院校，坐落于云贵川</w:t>
      </w:r>
      <w:proofErr w:type="gramStart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渝结合</w:t>
      </w:r>
      <w:proofErr w:type="gramEnd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区域的国家历史文化名城、全国卫生城市、全国文明城市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——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泸州。学校前身西南区川南医士学校始建于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1951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1959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年升格为泸州医学专科学校，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1978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年升格为本科院校并更名为泸州医学院，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1982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年获得学士学位授予权，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1993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年成为硕士学位授予单位，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2001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年开始联合培养博士，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2004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年起开展留学本科生学历教育，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2010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年获准设立博士后科研工作站，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2015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年更名为西南医科大学，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2021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年获批博士学位授予单位。</w:t>
      </w:r>
    </w:p>
    <w:p w14:paraId="36DF1550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19"/>
          <w:szCs w:val="19"/>
        </w:rPr>
      </w:pP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在长期的办学实践中，学校形成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团结奋斗、艰苦创业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的优良传统，秉承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厚德精业</w:t>
      </w:r>
      <w:r>
        <w:rPr>
          <w:rFonts w:ascii="Times New Roman" w:eastAsia="方正仿宋简体" w:hAnsi="Times New Roman"/>
          <w:color w:val="3B3B3B"/>
          <w:sz w:val="19"/>
          <w:szCs w:val="19"/>
          <w:shd w:val="clear" w:color="auto" w:fill="FFFFFF"/>
        </w:rPr>
        <w:t> 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、仁爱济世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的校训和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自强不息、守正出新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 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的精神，坚持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厚德精业、兼容开放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的办学理念，形成了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德业双修、中西医并重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的办学特色。学校现有忠山、城北两个校区，占地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2011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亩；下设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个院（系），有在校本科生、研究生、留学生等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1.9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万余人。建校以来，学校培养了各级各类专门人才超过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17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万余人，成为四川医药卫生人才培养和科技创新的重要基地，川</w:t>
      </w:r>
      <w:proofErr w:type="gramStart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渝滇黔结合</w:t>
      </w:r>
      <w:proofErr w:type="gramEnd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区域预防、医疗、科学研究和健康产业服务中心。</w:t>
      </w:r>
    </w:p>
    <w:p w14:paraId="274173DB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学校（含直属附属医院）有</w:t>
      </w:r>
      <w:proofErr w:type="gramStart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医教员工</w:t>
      </w:r>
      <w:proofErr w:type="gramEnd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8000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余人；有专任教师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1399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人，其中高级职称人员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636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人、博士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672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人；有博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lastRenderedPageBreak/>
        <w:t>士生导师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70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人、硕士生导师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1193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人；有各类高层次人才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830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余人次，其中国家级高层次人才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75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人次。</w:t>
      </w:r>
    </w:p>
    <w:p w14:paraId="15067194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学校学科门类较为齐全，学科特色突出。临床医学、药学是四川省一流建设学科。临床医学、药理学与毒理学、生物学与生物化学进入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ESI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全球排名前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1%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，其中临床医学在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ESI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全球排名前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1%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机构中位列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29.72%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。现有博士专业学位授权点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个，一级学科硕士学位授权点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8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个、硕士专业学位授权点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个，涵盖医学、管理学、法学、教育学等学科门类。有普通本科专业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个，涵盖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7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个学科门类；有国家级、省级一流本科专业建设点各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个、国家级特色专业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个、省级特色专业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个、省级应用型示范专业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5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个，大力推进“</w:t>
      </w:r>
      <w:proofErr w:type="gramStart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医</w:t>
      </w:r>
      <w:proofErr w:type="gramEnd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工、医理、</w:t>
      </w:r>
      <w:proofErr w:type="gramStart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医</w:t>
      </w:r>
      <w:proofErr w:type="gramEnd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文”结合，构建了覆盖“生命全周期，健康全过程”的医学专业教育体系。</w:t>
      </w:r>
    </w:p>
    <w:p w14:paraId="333FE626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19"/>
          <w:szCs w:val="19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学校是推荐优秀应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届本科毕业生免试攻读硕士研究生资格单位，承担了国家医学教育改革项目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5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个。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2021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年参加第十届中国大学生医学技术技能大赛，临床医学、中医学、护理学、预防医学四个赛道均晋级全国总决赛并获奖。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7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次参加全国高等医学院校大学生临床技能竞赛，获西南西北片区特等奖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次、一等奖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6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次，全国总决赛二等奖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次、三等奖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4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次；在全国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140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余所参赛医学院校中，我校是连续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6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届进入全国总决赛的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9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所学校之一。毕业生就业率连续多年保持在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90%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以上。国家执业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lastRenderedPageBreak/>
        <w:t>医师资格考试通过率高于全国平均水平，近年来居参考院校前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20%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。近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4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届获省级教学成果奖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项，其中一等奖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6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项。</w:t>
      </w:r>
    </w:p>
    <w:p w14:paraId="356D202A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学校先后建成同位素及药物国家工程研究中心（共建）、国家中医药传承创新中心、教育部重点实验室等省部级及以上科技创新平台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46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个，获批省、市厅级科研团队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46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个，是“四川省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2011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心血管疾病防治协同创新中心”牵头单位。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2019-2023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年，学校获批省部级及以上科研项目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595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项；获省部级以上科技成果奖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36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项。</w:t>
      </w:r>
    </w:p>
    <w:p w14:paraId="3677B55D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学校先后与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25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个国家和地区建立了对外合作交流关系，多次成功举办国际学术会议，获</w:t>
      </w:r>
      <w:proofErr w:type="gramStart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批国家</w:t>
      </w:r>
      <w:proofErr w:type="gramEnd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中医药服务出口基地，建成了中国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-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葡语系国家和地区中医药国际合作基地。先后为巴基斯坦、印度、孟加拉国等“一带一路”沿线国家培养博士后、研究生和本科生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600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余人。</w:t>
      </w:r>
    </w:p>
    <w:p w14:paraId="29757CEA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学校现有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5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所直属附属医院，在突发公共事件、应急抢险中，展现出极强的应急救援能力和高救治成功率。作为西南四省（市）结合区域的省级医疗中心，为云贵川</w:t>
      </w:r>
      <w:proofErr w:type="gramStart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渝结合</w:t>
      </w:r>
      <w:proofErr w:type="gramEnd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区域人民健康保驾护航，为国家和区域医药卫生人才培养和医疗服务</w:t>
      </w:r>
      <w:proofErr w:type="gramStart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作出</w:t>
      </w:r>
      <w:proofErr w:type="gramEnd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了重要的贡献。（数据截至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202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月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日）</w:t>
      </w:r>
    </w:p>
    <w:p w14:paraId="1B45E577" w14:textId="77777777" w:rsidR="00E36B13" w:rsidRDefault="00E36B13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6380D281" w14:textId="77777777" w:rsidR="00E36B13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现面向海内外诚聘各类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u w:val="single"/>
        </w:rPr>
        <w:t>博士</w:t>
      </w:r>
      <w:r>
        <w:rPr>
          <w:rFonts w:ascii="Times New Roman" w:eastAsia="方正仿宋简体" w:hAnsi="Times New Roman" w:cs="Times New Roman"/>
          <w:sz w:val="32"/>
          <w:szCs w:val="32"/>
        </w:rPr>
        <w:t>英才，具体如下：</w:t>
      </w:r>
    </w:p>
    <w:p w14:paraId="60189B9E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一、需求专业</w:t>
      </w:r>
    </w:p>
    <w:tbl>
      <w:tblPr>
        <w:tblW w:w="79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6535"/>
      </w:tblGrid>
      <w:tr w:rsidR="00E36B13" w14:paraId="423A359B" w14:textId="77777777">
        <w:trPr>
          <w:trHeight w:val="92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E6CC" w14:textId="77777777" w:rsidR="00E36B1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0F741" w14:textId="77777777" w:rsidR="00E36B1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所需专业</w:t>
            </w:r>
          </w:p>
        </w:tc>
      </w:tr>
      <w:tr w:rsidR="00E36B13" w14:paraId="2192D9CE" w14:textId="77777777">
        <w:trPr>
          <w:trHeight w:val="491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4F9A" w14:textId="77777777" w:rsidR="00E36B1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教师岗/医师岗/专职科研岗</w:t>
            </w:r>
          </w:p>
        </w:tc>
        <w:tc>
          <w:tcPr>
            <w:tcW w:w="6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AE0C" w14:textId="77777777" w:rsidR="00E36B1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临床医学、中西医结合、中医学、口腔医学、基础医学、护理学、中药学、药学、生理学、细胞生物学、营养与食品卫生学、流行病与卫生统计学、社会医学和卫生事业管理、数学、统计学、生物信息学、生物医学工程、人工智能大数据（医疗领域、教育）、计算机相关专业</w:t>
            </w:r>
          </w:p>
        </w:tc>
      </w:tr>
      <w:tr w:rsidR="00E36B13" w14:paraId="32925A1C" w14:textId="77777777">
        <w:trPr>
          <w:trHeight w:val="452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657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DB6B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6B13" w14:paraId="6DFAF448" w14:textId="77777777">
        <w:trPr>
          <w:trHeight w:val="490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AD87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E736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6B13" w14:paraId="4189925E" w14:textId="77777777">
        <w:trPr>
          <w:trHeight w:val="450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5D0D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8EF8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6B13" w14:paraId="650150C9" w14:textId="77777777">
        <w:trPr>
          <w:trHeight w:val="437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E48F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1591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6B13" w14:paraId="3D507110" w14:textId="77777777">
        <w:trPr>
          <w:trHeight w:val="437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2B8C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95B7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20E35A6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二、引进待遇</w:t>
      </w:r>
    </w:p>
    <w:p w14:paraId="062CFC0C" w14:textId="77777777" w:rsidR="00E36B13" w:rsidRDefault="00000000">
      <w:pPr>
        <w:pStyle w:val="a3"/>
        <w:ind w:firstLineChars="200" w:firstLine="640"/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b/>
          <w:bCs/>
          <w:color w:val="3B3B3B"/>
          <w:kern w:val="0"/>
          <w:sz w:val="32"/>
          <w:szCs w:val="32"/>
          <w:shd w:val="clear" w:color="auto" w:fill="FFFFFF"/>
        </w:rPr>
        <w:t>1.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提供事业编制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：入职后符合申报条件者，可按政策申报取得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事业编制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。</w:t>
      </w:r>
    </w:p>
    <w:p w14:paraId="06CE0A91" w14:textId="77777777" w:rsidR="00E36B13" w:rsidRDefault="00000000">
      <w:pPr>
        <w:pStyle w:val="a3"/>
        <w:ind w:firstLineChars="200" w:firstLine="640"/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b/>
          <w:bCs/>
          <w:color w:val="3B3B3B"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提供引才待遇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发放安家费、科研启动金、租房补贴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30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-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7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0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万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元人民币。</w:t>
      </w:r>
    </w:p>
    <w:tbl>
      <w:tblPr>
        <w:tblStyle w:val="ab"/>
        <w:tblW w:w="8859" w:type="dxa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8"/>
        <w:gridCol w:w="1265"/>
        <w:gridCol w:w="1265"/>
        <w:gridCol w:w="1269"/>
      </w:tblGrid>
      <w:tr w:rsidR="00E36B13" w14:paraId="1A60C537" w14:textId="77777777">
        <w:trPr>
          <w:trHeight w:val="594"/>
        </w:trPr>
        <w:tc>
          <w:tcPr>
            <w:tcW w:w="1264" w:type="dxa"/>
            <w:vAlign w:val="center"/>
          </w:tcPr>
          <w:p w14:paraId="2978049D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796" w:type="dxa"/>
            <w:gridSpan w:val="3"/>
            <w:vAlign w:val="center"/>
          </w:tcPr>
          <w:p w14:paraId="7C55CDC1" w14:textId="77777777" w:rsidR="00E36B13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自然学科类</w:t>
            </w:r>
          </w:p>
        </w:tc>
        <w:tc>
          <w:tcPr>
            <w:tcW w:w="3799" w:type="dxa"/>
            <w:gridSpan w:val="3"/>
            <w:vAlign w:val="center"/>
          </w:tcPr>
          <w:p w14:paraId="02C35356" w14:textId="77777777" w:rsidR="00E36B13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人文社会学科类</w:t>
            </w:r>
          </w:p>
        </w:tc>
      </w:tr>
      <w:tr w:rsidR="00E36B13" w14:paraId="72C26E68" w14:textId="77777777">
        <w:trPr>
          <w:trHeight w:val="864"/>
        </w:trPr>
        <w:tc>
          <w:tcPr>
            <w:tcW w:w="1264" w:type="dxa"/>
            <w:vMerge w:val="restart"/>
            <w:vAlign w:val="center"/>
          </w:tcPr>
          <w:p w14:paraId="0D7A8097" w14:textId="77777777" w:rsidR="00E36B13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A</w:t>
            </w:r>
            <w:r>
              <w:rPr>
                <w:rFonts w:hint="eastAsia"/>
                <w:b/>
                <w:bCs/>
                <w:sz w:val="32"/>
                <w:szCs w:val="32"/>
              </w:rPr>
              <w:t>类</w:t>
            </w:r>
          </w:p>
          <w:p w14:paraId="2FA3CE6A" w14:textId="77777777" w:rsidR="00E36B13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博士</w:t>
            </w:r>
          </w:p>
        </w:tc>
        <w:tc>
          <w:tcPr>
            <w:tcW w:w="1264" w:type="dxa"/>
            <w:vAlign w:val="center"/>
          </w:tcPr>
          <w:p w14:paraId="3A327CC5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校内安家费（税前）</w:t>
            </w:r>
          </w:p>
        </w:tc>
        <w:tc>
          <w:tcPr>
            <w:tcW w:w="1264" w:type="dxa"/>
            <w:vAlign w:val="center"/>
          </w:tcPr>
          <w:p w14:paraId="3DE95740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3BC5093E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启动金</w:t>
            </w:r>
          </w:p>
        </w:tc>
        <w:tc>
          <w:tcPr>
            <w:tcW w:w="1268" w:type="dxa"/>
            <w:vAlign w:val="center"/>
          </w:tcPr>
          <w:p w14:paraId="110064F2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房租补贴</w:t>
            </w:r>
          </w:p>
        </w:tc>
        <w:tc>
          <w:tcPr>
            <w:tcW w:w="1265" w:type="dxa"/>
            <w:vAlign w:val="center"/>
          </w:tcPr>
          <w:p w14:paraId="572D4E16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校内安家费（税前）</w:t>
            </w:r>
          </w:p>
        </w:tc>
        <w:tc>
          <w:tcPr>
            <w:tcW w:w="1265" w:type="dxa"/>
            <w:vAlign w:val="center"/>
          </w:tcPr>
          <w:p w14:paraId="00198859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6E907673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启动金</w:t>
            </w:r>
          </w:p>
        </w:tc>
        <w:tc>
          <w:tcPr>
            <w:tcW w:w="1269" w:type="dxa"/>
            <w:vAlign w:val="center"/>
          </w:tcPr>
          <w:p w14:paraId="371D1BD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房租补贴</w:t>
            </w:r>
          </w:p>
        </w:tc>
      </w:tr>
      <w:tr w:rsidR="00E36B13" w14:paraId="552FAF3A" w14:textId="77777777">
        <w:trPr>
          <w:trHeight w:val="869"/>
        </w:trPr>
        <w:tc>
          <w:tcPr>
            <w:tcW w:w="1264" w:type="dxa"/>
            <w:vMerge/>
            <w:vAlign w:val="center"/>
          </w:tcPr>
          <w:p w14:paraId="2812816C" w14:textId="77777777" w:rsidR="00E36B13" w:rsidRDefault="00E36B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14:paraId="68FBC69A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20-30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4" w:type="dxa"/>
            <w:vAlign w:val="center"/>
          </w:tcPr>
          <w:p w14:paraId="1DFEEEE5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15-20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8" w:type="dxa"/>
            <w:vAlign w:val="center"/>
          </w:tcPr>
          <w:p w14:paraId="581F7EB6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proofErr w:type="gramStart"/>
            <w:r>
              <w:rPr>
                <w:rFonts w:hint="eastAsia"/>
                <w:sz w:val="24"/>
              </w:rPr>
              <w:t>24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5" w:type="dxa"/>
            <w:vAlign w:val="center"/>
          </w:tcPr>
          <w:p w14:paraId="4B4CFCCF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20-30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5" w:type="dxa"/>
            <w:vAlign w:val="center"/>
          </w:tcPr>
          <w:p w14:paraId="638B723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9" w:type="dxa"/>
            <w:vAlign w:val="center"/>
          </w:tcPr>
          <w:p w14:paraId="77AA23E3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proofErr w:type="gramStart"/>
            <w:r>
              <w:rPr>
                <w:rFonts w:hint="eastAsia"/>
                <w:sz w:val="24"/>
              </w:rPr>
              <w:t>24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</w:tr>
      <w:tr w:rsidR="00E36B13" w14:paraId="2B720ED7" w14:textId="77777777">
        <w:trPr>
          <w:trHeight w:val="939"/>
        </w:trPr>
        <w:tc>
          <w:tcPr>
            <w:tcW w:w="1264" w:type="dxa"/>
            <w:vMerge w:val="restart"/>
            <w:vAlign w:val="center"/>
          </w:tcPr>
          <w:p w14:paraId="21623657" w14:textId="77777777" w:rsidR="00E36B13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B</w:t>
            </w:r>
            <w:r>
              <w:rPr>
                <w:rFonts w:hint="eastAsia"/>
                <w:b/>
                <w:bCs/>
                <w:sz w:val="32"/>
                <w:szCs w:val="32"/>
              </w:rPr>
              <w:t>类</w:t>
            </w:r>
          </w:p>
          <w:p w14:paraId="4FCB5B28" w14:textId="77777777" w:rsidR="00E36B13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博士</w:t>
            </w:r>
          </w:p>
        </w:tc>
        <w:tc>
          <w:tcPr>
            <w:tcW w:w="1264" w:type="dxa"/>
            <w:vAlign w:val="center"/>
          </w:tcPr>
          <w:p w14:paraId="4774E62C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校内安家费（税前）</w:t>
            </w:r>
          </w:p>
        </w:tc>
        <w:tc>
          <w:tcPr>
            <w:tcW w:w="1264" w:type="dxa"/>
            <w:vAlign w:val="center"/>
          </w:tcPr>
          <w:p w14:paraId="6AAEFB40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55E9BB36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启动金</w:t>
            </w:r>
          </w:p>
        </w:tc>
        <w:tc>
          <w:tcPr>
            <w:tcW w:w="1268" w:type="dxa"/>
            <w:vAlign w:val="center"/>
          </w:tcPr>
          <w:p w14:paraId="02BFF537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房租补贴</w:t>
            </w:r>
          </w:p>
        </w:tc>
        <w:tc>
          <w:tcPr>
            <w:tcW w:w="1265" w:type="dxa"/>
            <w:vAlign w:val="center"/>
          </w:tcPr>
          <w:p w14:paraId="192EF65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校内安家费（税前）</w:t>
            </w:r>
          </w:p>
        </w:tc>
        <w:tc>
          <w:tcPr>
            <w:tcW w:w="1265" w:type="dxa"/>
            <w:vAlign w:val="center"/>
          </w:tcPr>
          <w:p w14:paraId="39ADBD74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5949E50E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启动金</w:t>
            </w:r>
          </w:p>
        </w:tc>
        <w:tc>
          <w:tcPr>
            <w:tcW w:w="1269" w:type="dxa"/>
            <w:vAlign w:val="center"/>
          </w:tcPr>
          <w:p w14:paraId="02E522B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房租补贴</w:t>
            </w:r>
          </w:p>
        </w:tc>
      </w:tr>
      <w:tr w:rsidR="00E36B13" w14:paraId="53F83E26" w14:textId="77777777">
        <w:trPr>
          <w:trHeight w:val="908"/>
        </w:trPr>
        <w:tc>
          <w:tcPr>
            <w:tcW w:w="1264" w:type="dxa"/>
            <w:vMerge/>
            <w:vAlign w:val="center"/>
          </w:tcPr>
          <w:p w14:paraId="51B01CB5" w14:textId="77777777" w:rsidR="00E36B13" w:rsidRDefault="00E36B13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C4A2AFC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15-20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4" w:type="dxa"/>
            <w:vAlign w:val="center"/>
          </w:tcPr>
          <w:p w14:paraId="74600094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8" w:type="dxa"/>
            <w:vAlign w:val="center"/>
          </w:tcPr>
          <w:p w14:paraId="2203117F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proofErr w:type="gramStart"/>
            <w:r>
              <w:rPr>
                <w:rFonts w:hint="eastAsia"/>
                <w:sz w:val="24"/>
              </w:rPr>
              <w:t>24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5" w:type="dxa"/>
            <w:vAlign w:val="center"/>
          </w:tcPr>
          <w:p w14:paraId="6AC305F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15-20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5" w:type="dxa"/>
            <w:vAlign w:val="center"/>
          </w:tcPr>
          <w:p w14:paraId="56C96E03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9" w:type="dxa"/>
            <w:vAlign w:val="center"/>
          </w:tcPr>
          <w:p w14:paraId="088E3E49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proofErr w:type="gramStart"/>
            <w:r>
              <w:rPr>
                <w:rFonts w:hint="eastAsia"/>
                <w:sz w:val="24"/>
              </w:rPr>
              <w:t>24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</w:tr>
    </w:tbl>
    <w:p w14:paraId="75752A84" w14:textId="77777777" w:rsidR="00E36B13" w:rsidRDefault="00000000">
      <w:pPr>
        <w:rPr>
          <w:rFonts w:ascii="Times New Roman" w:eastAsia="方正仿宋简体" w:hAnsi="Times New Roman" w:cs="Times New Roman"/>
          <w:color w:val="3B3B3B"/>
          <w:kern w:val="0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注：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A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、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B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类博士的分类标准附后。引进人才除学校给予的引进待遇外，还享受泸州市人才引进相关资助政策。</w:t>
      </w:r>
    </w:p>
    <w:p w14:paraId="2AED0DAE" w14:textId="77777777" w:rsidR="00E36B13" w:rsidRDefault="00000000">
      <w:pPr>
        <w:ind w:firstLineChars="200" w:firstLine="640"/>
      </w:pP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3.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提供高薪待遇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经学校认定为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类博士且无副高级及以上专业技术职务的引进博士，自入职之日起，学校聘任为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lastRenderedPageBreak/>
        <w:t>副高级专业技术职务（</w:t>
      </w:r>
      <w:proofErr w:type="gramStart"/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不</w:t>
      </w:r>
      <w:proofErr w:type="gramEnd"/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认定相应职称资格），发放聘任证书，同时可对外使用副高级专业技术职务头衔，聘期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年。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聘期内可按专业技术七级标准（副高级职称）提前享受校内绩效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36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个月，期满后按实际取得职称兑现日常工资待遇。</w:t>
      </w:r>
    </w:p>
    <w:p w14:paraId="63328C46" w14:textId="77777777" w:rsidR="00E36B13" w:rsidRDefault="00000000">
      <w:pPr>
        <w:ind w:firstLineChars="200" w:firstLine="640"/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4.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提供配偶就业机会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：博士来校报到工作后，学校可根据其配偶的学历、专业、年龄等实际情况协助就业。</w:t>
      </w:r>
    </w:p>
    <w:p w14:paraId="253C3EE2" w14:textId="77777777" w:rsidR="00E36B13" w:rsidRDefault="00000000">
      <w:pPr>
        <w:ind w:firstLineChars="200" w:firstLine="640"/>
        <w:rPr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5.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提供子女入学帮助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：博士来校报到工作后，学校可协调其子女的义务教育阶段教育入学事宜。</w:t>
      </w:r>
    </w:p>
    <w:p w14:paraId="13453BB2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6.</w:t>
      </w:r>
      <w:r>
        <w:rPr>
          <w:rFonts w:ascii="Times New Roman" w:eastAsia="方正仿宋简体" w:hAnsi="Times New Roman" w:cs="Times New Roman"/>
          <w:b/>
          <w:bCs/>
          <w:color w:val="3B3B3B"/>
          <w:kern w:val="0"/>
          <w:sz w:val="32"/>
          <w:szCs w:val="32"/>
          <w:shd w:val="clear" w:color="auto" w:fill="FFFFFF"/>
        </w:rPr>
        <w:t>个别特殊情况不受上述限制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，采用一事一议，具体面议。</w:t>
      </w:r>
    </w:p>
    <w:p w14:paraId="620FDC1A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三、AB类博士分类标准</w:t>
      </w:r>
    </w:p>
    <w:p w14:paraId="157BB361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1.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自然学科类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类博士，</w:t>
      </w: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近四年业绩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须满足以下条件之一：</w:t>
      </w:r>
    </w:p>
    <w:p w14:paraId="459D5339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）以第一作者或通讯作者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发表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SCI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篇且单篇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IF≥10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分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（并列第一作者须排名第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位，通讯作者须排名最后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；</w:t>
      </w:r>
    </w:p>
    <w:p w14:paraId="3F8E9A62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2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）以第一作者或通讯作者发表中科院大类一区论著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篇，或中科院大类二区论著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≥2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（并列第一作者须排名第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位，通讯作者须排名最后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；</w:t>
      </w:r>
    </w:p>
    <w:p w14:paraId="5CC571EC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）以第一作者或通讯作者发表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SCI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论著总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IF≥20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分，且其中中科院大类二区论著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篇；</w:t>
      </w:r>
    </w:p>
    <w:p w14:paraId="1DB06026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4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）担任项目负责人，主持省部级及以上科研项目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项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，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且项目立项经费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≥10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万元；</w:t>
      </w:r>
    </w:p>
    <w:p w14:paraId="12655D7C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lastRenderedPageBreak/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5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）获授权国家发明专利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（发明人排名第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 xml:space="preserve">≥1 </w:t>
      </w:r>
      <w:proofErr w:type="gramStart"/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项且专利</w:t>
      </w:r>
      <w:proofErr w:type="gramEnd"/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转化实现累计到账转化经费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 xml:space="preserve">≥20 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万元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，且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以第一作者或通讯作者发表中科院大类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区论著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。</w:t>
      </w:r>
    </w:p>
    <w:p w14:paraId="55C0230E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2</w:t>
      </w: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、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人文社科类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类博士，</w:t>
      </w: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近四年业绩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须满足以下条件之一：</w:t>
      </w:r>
    </w:p>
    <w:p w14:paraId="470DB517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）以第一作者或通讯作者发表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CSSCI(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不含扩展版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和集刊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)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、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SSCI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、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﹠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HCI 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来源论文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≥2 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（并列第一作者须排名第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位，通讯作者须排名最后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位；若为应届博士毕业生，研究生期间与导师合作发表的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CSSCI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论著，导师排名第一、本人排名第二的也认可）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；</w:t>
      </w:r>
    </w:p>
    <w:p w14:paraId="73E9077F" w14:textId="77777777" w:rsidR="00E36B13" w:rsidRDefault="00000000">
      <w:pPr>
        <w:ind w:firstLineChars="200" w:firstLine="640"/>
        <w:rPr>
          <w:rFonts w:ascii="Times New Roman" w:eastAsia="方正仿宋简体" w:hAnsi="Times New Roman" w:cs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2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）担任项目负责人，主持国家级科研项目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项，或主持省部级科研项目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≥2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项；</w:t>
      </w:r>
    </w:p>
    <w:p w14:paraId="4DD192AA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）担任主编出版与本专业（学科）相关的专著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部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（需为我校认定的一类出版社出版）。</w:t>
      </w:r>
    </w:p>
    <w:p w14:paraId="7BF46396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、其它事项</w:t>
      </w:r>
    </w:p>
    <w:p w14:paraId="699D7DE8" w14:textId="3A846D2E" w:rsidR="00E36B13" w:rsidRDefault="00000000">
      <w:pPr>
        <w:ind w:firstLineChars="200" w:firstLine="640"/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）全</w:t>
      </w:r>
      <w:r w:rsidR="00CE4AB9">
        <w:rPr>
          <w:rFonts w:ascii="Times New Roman" w:eastAsia="方正仿宋简体" w:hAnsi="Times New Roman" w:cs="Times New Roman" w:hint="eastAsia"/>
          <w:color w:val="3B3B3B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日</w:t>
      </w:r>
      <w:r w:rsidR="00CE4AB9">
        <w:rPr>
          <w:rFonts w:ascii="Times New Roman" w:eastAsia="方正仿宋简体" w:hAnsi="Times New Roman" w:cs="Times New Roman" w:hint="eastAsia"/>
          <w:color w:val="3B3B3B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制博士原则上年龄不超过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40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周岁；</w:t>
      </w:r>
    </w:p>
    <w:p w14:paraId="59F41668" w14:textId="77777777" w:rsidR="00E36B13" w:rsidRDefault="00000000">
      <w:pPr>
        <w:ind w:firstLineChars="200" w:firstLine="640"/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2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）除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类博士外，其余博士纳入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B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类范围；</w:t>
      </w:r>
    </w:p>
    <w:p w14:paraId="040C678E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）除上述条款的业绩外，如具有其他优质业绩，由学校组织认定后，可列为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类博士；</w:t>
      </w:r>
    </w:p>
    <w:p w14:paraId="6AED68E8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4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）特殊紧缺类专业，经学校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组织认定后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，可列为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类博士；</w:t>
      </w:r>
    </w:p>
    <w:p w14:paraId="30DE8092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5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）其他高层次人才的引进采取一事一议，另行商定。</w:t>
      </w:r>
    </w:p>
    <w:p w14:paraId="62F73748" w14:textId="77777777" w:rsidR="00E36B13" w:rsidRDefault="00E36B13">
      <w:pPr>
        <w:pStyle w:val="a3"/>
      </w:pPr>
    </w:p>
    <w:p w14:paraId="4110A19E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四、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通迅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地址及联系方式：</w:t>
      </w:r>
    </w:p>
    <w:p w14:paraId="361509C8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地址：四川省泸州市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龙马潭区香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林路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段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号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德诚楼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sz w:val="32"/>
          <w:szCs w:val="32"/>
        </w:rPr>
        <w:t>楼西南医科大学人事处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14:paraId="60252043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电话：</w:t>
      </w:r>
      <w:r>
        <w:rPr>
          <w:rFonts w:ascii="Times New Roman" w:eastAsia="方正仿宋简体" w:hAnsi="Times New Roman" w:cs="Times New Roman"/>
          <w:sz w:val="32"/>
          <w:szCs w:val="32"/>
        </w:rPr>
        <w:t>0830-3160509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　联系人：文老师</w:t>
      </w:r>
      <w:r>
        <w:rPr>
          <w:rFonts w:ascii="Times New Roman" w:eastAsia="方正仿宋简体" w:hAnsi="Times New Roman" w:cs="Times New Roman"/>
          <w:sz w:val="32"/>
          <w:szCs w:val="32"/>
        </w:rPr>
        <w:t>/</w:t>
      </w:r>
      <w:r>
        <w:rPr>
          <w:rFonts w:ascii="Times New Roman" w:eastAsia="方正仿宋简体" w:hAnsi="Times New Roman" w:cs="Times New Roman"/>
          <w:sz w:val="32"/>
          <w:szCs w:val="32"/>
        </w:rPr>
        <w:t>杨老师</w:t>
      </w:r>
    </w:p>
    <w:p w14:paraId="0B5385AE" w14:textId="77777777" w:rsidR="00E36B13" w:rsidRDefault="00000000">
      <w:pPr>
        <w:spacing w:line="540" w:lineRule="exact"/>
        <w:ind w:firstLineChars="200" w:firstLine="640"/>
        <w:rPr>
          <w:rFonts w:ascii="Times New Roman" w:eastAsia="宋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电子邮箱: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hr@swmu.edu.cn,</w:t>
      </w:r>
      <w:hyperlink r:id="rId6" w:history="1">
        <w:r>
          <w:rPr>
            <w:rStyle w:val="af"/>
            <w:rFonts w:ascii="Times New Roman" w:eastAsia="宋体" w:hAnsi="Times New Roman" w:cs="Times New Roman"/>
            <w:b/>
            <w:bCs/>
            <w:color w:val="FF0000"/>
            <w:sz w:val="32"/>
            <w:szCs w:val="32"/>
          </w:rPr>
          <w:t>xnykdarsc@126.com</w:t>
        </w:r>
      </w:hyperlink>
    </w:p>
    <w:p w14:paraId="1E3C27CC" w14:textId="77777777" w:rsidR="00E36B13" w:rsidRDefault="00000000">
      <w:pPr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Hlk60263631"/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邮件标题注明：姓名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+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学校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+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学历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+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专业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+</w:t>
      </w:r>
      <w:bookmarkEnd w:id="0"/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优秀人才网</w:t>
      </w:r>
    </w:p>
    <w:p w14:paraId="04CF90CF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五、来校考察路线：</w:t>
      </w:r>
    </w:p>
    <w:p w14:paraId="29F3048E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、航班直飞泸州。到达云龙机场后，乘坐</w:t>
      </w:r>
      <w:r>
        <w:rPr>
          <w:rFonts w:ascii="Times New Roman" w:eastAsia="方正仿宋简体" w:hAnsi="Times New Roman" w:cs="Times New Roman"/>
          <w:sz w:val="32"/>
          <w:szCs w:val="32"/>
        </w:rPr>
        <w:t>95</w:t>
      </w:r>
      <w:r>
        <w:rPr>
          <w:rFonts w:ascii="Times New Roman" w:eastAsia="方正仿宋简体" w:hAnsi="Times New Roman" w:cs="Times New Roman"/>
          <w:sz w:val="32"/>
          <w:szCs w:val="32"/>
        </w:rPr>
        <w:t>路公交车到泸州客运中心站下车，步行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z w:val="32"/>
          <w:szCs w:val="32"/>
        </w:rPr>
        <w:t>分钟或搭乘出租车起步价即到西南医科大学城北校区。</w:t>
      </w:r>
    </w:p>
    <w:p w14:paraId="6B028DA1" w14:textId="77777777" w:rsidR="00E36B13" w:rsidRDefault="00000000">
      <w:pPr>
        <w:pStyle w:val="a3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高铁直达泸州。出站后搭乘出租车起步价即到西南医科大学城北校区。</w:t>
      </w:r>
    </w:p>
    <w:p w14:paraId="5C0055B8" w14:textId="77777777" w:rsidR="00E36B13" w:rsidRDefault="00000000">
      <w:pPr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其它到达方式。</w:t>
      </w:r>
    </w:p>
    <w:p w14:paraId="13E553FB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）可以飞抵附近的宜宾机场。宜宾机场距离泸州车程约</w:t>
      </w:r>
      <w:r>
        <w:rPr>
          <w:rFonts w:ascii="Times New Roman" w:eastAsia="方正仿宋简体" w:hAnsi="Times New Roman" w:cs="Times New Roman"/>
          <w:sz w:val="32"/>
          <w:szCs w:val="32"/>
        </w:rPr>
        <w:t>90</w:t>
      </w:r>
      <w:r>
        <w:rPr>
          <w:rFonts w:ascii="Times New Roman" w:eastAsia="方正仿宋简体" w:hAnsi="Times New Roman" w:cs="Times New Roman"/>
          <w:sz w:val="32"/>
          <w:szCs w:val="32"/>
        </w:rPr>
        <w:t>分钟。</w:t>
      </w:r>
    </w:p>
    <w:p w14:paraId="5FD37962" w14:textId="77777777" w:rsidR="00E36B13" w:rsidRDefault="00000000">
      <w:pPr>
        <w:pStyle w:val="a3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）可以飞抵重庆机场，然后在</w:t>
      </w:r>
      <w:r>
        <w:rPr>
          <w:rFonts w:ascii="Times New Roman" w:eastAsia="方正仿宋简体" w:hAnsi="Times New Roman" w:cs="Times New Roman"/>
          <w:sz w:val="32"/>
          <w:szCs w:val="32"/>
        </w:rPr>
        <w:t>T2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T3</w:t>
      </w:r>
      <w:r>
        <w:rPr>
          <w:rFonts w:ascii="Times New Roman" w:eastAsia="方正仿宋简体" w:hAnsi="Times New Roman" w:cs="Times New Roman"/>
          <w:sz w:val="32"/>
          <w:szCs w:val="32"/>
        </w:rPr>
        <w:t>航站楼乘至泸州的机场大巴专线，全天候滚动发车，购票及上车地点位于航站楼内，较方便。</w:t>
      </w:r>
    </w:p>
    <w:p w14:paraId="4EE47D17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）可以飞抵成都，然后可选择坐客车直达泸州，也可在成都东站坐高铁到泸州站。</w:t>
      </w:r>
    </w:p>
    <w:p w14:paraId="2E9FC90D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、乘高铁到成都，转车到泸州：成都东站</w:t>
      </w:r>
      <w:r>
        <w:rPr>
          <w:rFonts w:ascii="Times New Roman" w:eastAsia="方正仿宋简体" w:hAnsi="Times New Roman" w:cs="Times New Roman"/>
          <w:sz w:val="32"/>
          <w:szCs w:val="32"/>
        </w:rPr>
        <w:t>—</w:t>
      </w:r>
      <w:r>
        <w:rPr>
          <w:rFonts w:ascii="Times New Roman" w:eastAsia="方正仿宋简体" w:hAnsi="Times New Roman" w:cs="Times New Roman"/>
          <w:sz w:val="32"/>
          <w:szCs w:val="32"/>
        </w:rPr>
        <w:t>泸州站（约</w:t>
      </w:r>
      <w:r>
        <w:rPr>
          <w:rFonts w:ascii="Times New Roman" w:eastAsia="方正仿宋简体" w:hAnsi="Times New Roman" w:cs="Times New Roman"/>
          <w:sz w:val="32"/>
          <w:szCs w:val="32"/>
        </w:rPr>
        <w:t>90</w:t>
      </w:r>
      <w:r>
        <w:rPr>
          <w:rFonts w:ascii="Times New Roman" w:eastAsia="方正仿宋简体" w:hAnsi="Times New Roman" w:cs="Times New Roman"/>
          <w:sz w:val="32"/>
          <w:szCs w:val="32"/>
        </w:rPr>
        <w:t>分钟）。</w:t>
      </w:r>
    </w:p>
    <w:p w14:paraId="42F0CE91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来我校考察面试的博士，我校可报销一定的交通费及住宿费</w:t>
      </w:r>
      <w:r>
        <w:rPr>
          <w:rFonts w:ascii="Times New Roman" w:eastAsia="方正仿宋简体" w:hAnsi="Times New Roman" w:cs="Times New Roman"/>
          <w:sz w:val="32"/>
          <w:szCs w:val="32"/>
        </w:rPr>
        <w:t>(</w:t>
      </w:r>
      <w:r>
        <w:rPr>
          <w:rFonts w:ascii="Times New Roman" w:eastAsia="方正仿宋简体" w:hAnsi="Times New Roman" w:cs="Times New Roman"/>
          <w:sz w:val="32"/>
          <w:szCs w:val="32"/>
        </w:rPr>
        <w:t>须报销凭证</w:t>
      </w:r>
      <w:r>
        <w:rPr>
          <w:rFonts w:ascii="Times New Roman" w:eastAsia="方正仿宋简体" w:hAnsi="Times New Roman" w:cs="Times New Roman"/>
          <w:sz w:val="32"/>
          <w:szCs w:val="32"/>
        </w:rPr>
        <w:t>)</w:t>
      </w:r>
      <w:r>
        <w:rPr>
          <w:rFonts w:ascii="Times New Roman" w:eastAsia="方正仿宋简体" w:hAnsi="Times New Roman" w:cs="Times New Roman"/>
          <w:sz w:val="32"/>
          <w:szCs w:val="32"/>
        </w:rPr>
        <w:t>。具体请与我校工作人员联系。</w:t>
      </w:r>
    </w:p>
    <w:p w14:paraId="2B315829" w14:textId="77777777" w:rsidR="00E36B13" w:rsidRDefault="00E36B13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E3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8BD9" w14:textId="77777777" w:rsidR="008F1581" w:rsidRDefault="008F1581" w:rsidP="00CE4AB9">
      <w:r>
        <w:separator/>
      </w:r>
    </w:p>
  </w:endnote>
  <w:endnote w:type="continuationSeparator" w:id="0">
    <w:p w14:paraId="5219ED75" w14:textId="77777777" w:rsidR="008F1581" w:rsidRDefault="008F1581" w:rsidP="00CE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00"/>
    <w:family w:val="auto"/>
    <w:pitch w:val="default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9A8D" w14:textId="77777777" w:rsidR="008F1581" w:rsidRDefault="008F1581" w:rsidP="00CE4AB9">
      <w:r>
        <w:separator/>
      </w:r>
    </w:p>
  </w:footnote>
  <w:footnote w:type="continuationSeparator" w:id="0">
    <w:p w14:paraId="4391AFC8" w14:textId="77777777" w:rsidR="008F1581" w:rsidRDefault="008F1581" w:rsidP="00CE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320C99"/>
    <w:rsid w:val="000474D7"/>
    <w:rsid w:val="0007413F"/>
    <w:rsid w:val="000E2AF2"/>
    <w:rsid w:val="000E3AC3"/>
    <w:rsid w:val="00107AA3"/>
    <w:rsid w:val="00126024"/>
    <w:rsid w:val="001A4F90"/>
    <w:rsid w:val="00216829"/>
    <w:rsid w:val="00242B89"/>
    <w:rsid w:val="00287E5F"/>
    <w:rsid w:val="002C567A"/>
    <w:rsid w:val="00320C99"/>
    <w:rsid w:val="00366EA7"/>
    <w:rsid w:val="003E5DCA"/>
    <w:rsid w:val="00405985"/>
    <w:rsid w:val="00423C85"/>
    <w:rsid w:val="004275D6"/>
    <w:rsid w:val="00462FAE"/>
    <w:rsid w:val="004D0E68"/>
    <w:rsid w:val="004F04D0"/>
    <w:rsid w:val="005C6121"/>
    <w:rsid w:val="005E43EA"/>
    <w:rsid w:val="0060271A"/>
    <w:rsid w:val="006453D3"/>
    <w:rsid w:val="00664D3C"/>
    <w:rsid w:val="00685165"/>
    <w:rsid w:val="006C6ED1"/>
    <w:rsid w:val="006D218B"/>
    <w:rsid w:val="006E74B5"/>
    <w:rsid w:val="00741344"/>
    <w:rsid w:val="007443CC"/>
    <w:rsid w:val="007C1356"/>
    <w:rsid w:val="007C14C0"/>
    <w:rsid w:val="007F5BA6"/>
    <w:rsid w:val="00850326"/>
    <w:rsid w:val="00880C37"/>
    <w:rsid w:val="00896694"/>
    <w:rsid w:val="008F1581"/>
    <w:rsid w:val="00955DBC"/>
    <w:rsid w:val="0099316D"/>
    <w:rsid w:val="009B5B9F"/>
    <w:rsid w:val="009C1DF4"/>
    <w:rsid w:val="009E53FA"/>
    <w:rsid w:val="00A313BD"/>
    <w:rsid w:val="00A40357"/>
    <w:rsid w:val="00AD7FAD"/>
    <w:rsid w:val="00B46550"/>
    <w:rsid w:val="00B743DB"/>
    <w:rsid w:val="00B93C48"/>
    <w:rsid w:val="00BA70BC"/>
    <w:rsid w:val="00BD2DC2"/>
    <w:rsid w:val="00C71B8C"/>
    <w:rsid w:val="00CD6EB0"/>
    <w:rsid w:val="00CD7F75"/>
    <w:rsid w:val="00CE4AB9"/>
    <w:rsid w:val="00D1472D"/>
    <w:rsid w:val="00D717C5"/>
    <w:rsid w:val="00D85792"/>
    <w:rsid w:val="00DE6092"/>
    <w:rsid w:val="00E0046A"/>
    <w:rsid w:val="00E038CE"/>
    <w:rsid w:val="00E33400"/>
    <w:rsid w:val="00E36B13"/>
    <w:rsid w:val="00EB303E"/>
    <w:rsid w:val="00EE1995"/>
    <w:rsid w:val="00EE2556"/>
    <w:rsid w:val="00F17983"/>
    <w:rsid w:val="00F723AA"/>
    <w:rsid w:val="00F957BA"/>
    <w:rsid w:val="00FB4A4B"/>
    <w:rsid w:val="00FF2512"/>
    <w:rsid w:val="01CD1BE5"/>
    <w:rsid w:val="022079CC"/>
    <w:rsid w:val="02B73948"/>
    <w:rsid w:val="02D8580E"/>
    <w:rsid w:val="02E90F3A"/>
    <w:rsid w:val="031A261D"/>
    <w:rsid w:val="033E2796"/>
    <w:rsid w:val="03F22661"/>
    <w:rsid w:val="045C0AE9"/>
    <w:rsid w:val="04966823"/>
    <w:rsid w:val="053A36A9"/>
    <w:rsid w:val="05C63620"/>
    <w:rsid w:val="05E2163C"/>
    <w:rsid w:val="065053B0"/>
    <w:rsid w:val="06987BBC"/>
    <w:rsid w:val="06D61CCD"/>
    <w:rsid w:val="071C42A1"/>
    <w:rsid w:val="077B60D6"/>
    <w:rsid w:val="07A7664E"/>
    <w:rsid w:val="09396E54"/>
    <w:rsid w:val="09D136E8"/>
    <w:rsid w:val="0C8C796B"/>
    <w:rsid w:val="0CCD0A54"/>
    <w:rsid w:val="0CF07316"/>
    <w:rsid w:val="0D2B7093"/>
    <w:rsid w:val="0D314526"/>
    <w:rsid w:val="0D450E61"/>
    <w:rsid w:val="0DD06015"/>
    <w:rsid w:val="0E694656"/>
    <w:rsid w:val="0F07692A"/>
    <w:rsid w:val="116F12D7"/>
    <w:rsid w:val="11CA5230"/>
    <w:rsid w:val="12A8789D"/>
    <w:rsid w:val="15D82B6A"/>
    <w:rsid w:val="167E2B99"/>
    <w:rsid w:val="16D9613C"/>
    <w:rsid w:val="178C7CAF"/>
    <w:rsid w:val="17B80644"/>
    <w:rsid w:val="17DC0DD0"/>
    <w:rsid w:val="1A26159D"/>
    <w:rsid w:val="1BA57A7D"/>
    <w:rsid w:val="1F144F86"/>
    <w:rsid w:val="1FC019CA"/>
    <w:rsid w:val="20015EDA"/>
    <w:rsid w:val="22B56D09"/>
    <w:rsid w:val="22B95046"/>
    <w:rsid w:val="22F66E20"/>
    <w:rsid w:val="23B43F51"/>
    <w:rsid w:val="24002D53"/>
    <w:rsid w:val="24396C3D"/>
    <w:rsid w:val="252A6B27"/>
    <w:rsid w:val="253D662D"/>
    <w:rsid w:val="25421643"/>
    <w:rsid w:val="2688085F"/>
    <w:rsid w:val="26E10C72"/>
    <w:rsid w:val="28507EB6"/>
    <w:rsid w:val="28534109"/>
    <w:rsid w:val="29547DA0"/>
    <w:rsid w:val="2B2A6338"/>
    <w:rsid w:val="2B980A61"/>
    <w:rsid w:val="2D054A13"/>
    <w:rsid w:val="2D214C4C"/>
    <w:rsid w:val="2D645F57"/>
    <w:rsid w:val="2D670662"/>
    <w:rsid w:val="2DFD567C"/>
    <w:rsid w:val="2E960B5C"/>
    <w:rsid w:val="2FA32828"/>
    <w:rsid w:val="2FA87EF7"/>
    <w:rsid w:val="2FC900B6"/>
    <w:rsid w:val="30CA629D"/>
    <w:rsid w:val="316F136C"/>
    <w:rsid w:val="3192792B"/>
    <w:rsid w:val="32D315BE"/>
    <w:rsid w:val="34753B32"/>
    <w:rsid w:val="3477366C"/>
    <w:rsid w:val="35502D84"/>
    <w:rsid w:val="36011664"/>
    <w:rsid w:val="36AF749B"/>
    <w:rsid w:val="37E9728F"/>
    <w:rsid w:val="37F12939"/>
    <w:rsid w:val="39E66332"/>
    <w:rsid w:val="3A004EDF"/>
    <w:rsid w:val="3ACC4283"/>
    <w:rsid w:val="3AF6158A"/>
    <w:rsid w:val="3C227018"/>
    <w:rsid w:val="3D137103"/>
    <w:rsid w:val="3E0153B8"/>
    <w:rsid w:val="3E7077D8"/>
    <w:rsid w:val="3E962AEB"/>
    <w:rsid w:val="403937A0"/>
    <w:rsid w:val="415E0CE8"/>
    <w:rsid w:val="41B20C21"/>
    <w:rsid w:val="44C0302A"/>
    <w:rsid w:val="456904E4"/>
    <w:rsid w:val="459B6179"/>
    <w:rsid w:val="467A4BD3"/>
    <w:rsid w:val="498F4DFA"/>
    <w:rsid w:val="49F542BC"/>
    <w:rsid w:val="4B554EB9"/>
    <w:rsid w:val="4D1B75F6"/>
    <w:rsid w:val="4D557971"/>
    <w:rsid w:val="4D6550EB"/>
    <w:rsid w:val="4DC0378D"/>
    <w:rsid w:val="4DE04F74"/>
    <w:rsid w:val="4E8D1D13"/>
    <w:rsid w:val="4F77735A"/>
    <w:rsid w:val="4F8928DD"/>
    <w:rsid w:val="4FD95020"/>
    <w:rsid w:val="50C51101"/>
    <w:rsid w:val="52796647"/>
    <w:rsid w:val="527D21B2"/>
    <w:rsid w:val="542E16AC"/>
    <w:rsid w:val="5473040A"/>
    <w:rsid w:val="55F3040B"/>
    <w:rsid w:val="568D59D9"/>
    <w:rsid w:val="57C648F3"/>
    <w:rsid w:val="583033FF"/>
    <w:rsid w:val="58406A4F"/>
    <w:rsid w:val="58D20A09"/>
    <w:rsid w:val="59A35320"/>
    <w:rsid w:val="59C6133E"/>
    <w:rsid w:val="5AE17903"/>
    <w:rsid w:val="5AE64A95"/>
    <w:rsid w:val="5AF43AF5"/>
    <w:rsid w:val="5C1919AD"/>
    <w:rsid w:val="5CEE65D4"/>
    <w:rsid w:val="5D38490D"/>
    <w:rsid w:val="6120121F"/>
    <w:rsid w:val="6320322B"/>
    <w:rsid w:val="63D1527F"/>
    <w:rsid w:val="649A3ED0"/>
    <w:rsid w:val="67996655"/>
    <w:rsid w:val="6ABB28BC"/>
    <w:rsid w:val="6AD93AB1"/>
    <w:rsid w:val="6BF02DCB"/>
    <w:rsid w:val="6C125959"/>
    <w:rsid w:val="6E646D41"/>
    <w:rsid w:val="6ED807ED"/>
    <w:rsid w:val="6F132CD7"/>
    <w:rsid w:val="6F682E83"/>
    <w:rsid w:val="71F87EF0"/>
    <w:rsid w:val="73E11442"/>
    <w:rsid w:val="759629BA"/>
    <w:rsid w:val="76115DAC"/>
    <w:rsid w:val="764D1B32"/>
    <w:rsid w:val="770359BE"/>
    <w:rsid w:val="799F3E5A"/>
    <w:rsid w:val="79DB7407"/>
    <w:rsid w:val="7A24025B"/>
    <w:rsid w:val="7A5A69CD"/>
    <w:rsid w:val="7A8756E0"/>
    <w:rsid w:val="7AAF5894"/>
    <w:rsid w:val="7B5B0073"/>
    <w:rsid w:val="7D1F6F6E"/>
    <w:rsid w:val="7D2F6177"/>
    <w:rsid w:val="7DC600E3"/>
    <w:rsid w:val="7ED45F00"/>
    <w:rsid w:val="7F58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6584B"/>
  <w15:docId w15:val="{F3A25187-B49E-423C-9065-D59332EE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e">
    <w:name w:val="Emphasis"/>
    <w:basedOn w:val="a0"/>
    <w:qFormat/>
  </w:style>
  <w:style w:type="character" w:styleId="af">
    <w:name w:val="Hyperlink"/>
    <w:basedOn w:val="a0"/>
    <w:qFormat/>
    <w:rPr>
      <w:color w:val="0000FF"/>
      <w:u w:val="none"/>
    </w:rPr>
  </w:style>
  <w:style w:type="character" w:customStyle="1" w:styleId="a9">
    <w:name w:val="页眉 字符"/>
    <w:basedOn w:val="a0"/>
    <w:link w:val="a8"/>
    <w:autoRedefine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99"/>
    <w:unhideWhenUsed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nykdars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539</Words>
  <Characters>3074</Characters>
  <Application>Microsoft Office Word</Application>
  <DocSecurity>0</DocSecurity>
  <Lines>25</Lines>
  <Paragraphs>7</Paragraphs>
  <ScaleCrop>false</ScaleCrop>
  <Company>微软中国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建胜 刘</cp:lastModifiedBy>
  <cp:revision>11</cp:revision>
  <cp:lastPrinted>2017-03-06T09:48:00Z</cp:lastPrinted>
  <dcterms:created xsi:type="dcterms:W3CDTF">2020-12-28T02:29:00Z</dcterms:created>
  <dcterms:modified xsi:type="dcterms:W3CDTF">2024-04-08T12:41:00Z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54DC389224384581BAE57AD3A17858E8</vt:lpwstr>
  </property>
</Properties>
</file>