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8"/>
          <w:szCs w:val="28"/>
        </w:rPr>
      </w:pPr>
      <w:r>
        <w:rPr>
          <w:rFonts w:hint="eastAsia" w:ascii="Times New Roman" w:hAnsi="Times New Roman" w:eastAsia="方正小标宋简体" w:cs="宋体"/>
          <w:b w:val="0"/>
          <w:bCs w:val="0"/>
          <w:spacing w:val="-6"/>
          <w:kern w:val="2"/>
          <w:sz w:val="44"/>
          <w:szCs w:val="44"/>
          <w:lang w:val="en-US" w:eastAsia="zh-CN" w:bidi="ar-SA"/>
        </w:rPr>
        <w:t>闽江学院2024年高层次人才招聘公告</w:t>
      </w:r>
      <w:bookmarkStart w:id="0" w:name="_GoBack"/>
      <w:bookmarkEnd w:id="0"/>
    </w:p>
    <w:p>
      <w:pPr>
        <w:bidi w:val="0"/>
        <w:rPr>
          <w:sz w:val="28"/>
          <w:szCs w:val="28"/>
        </w:rPr>
      </w:pPr>
      <w:r>
        <w:rPr>
          <w:sz w:val="28"/>
          <w:szCs w:val="28"/>
        </w:rPr>
        <w:t>    福州市是福建省省会，历史悠久，文化底蕴深厚，是近代中国最早开放的五个通商口岸之一，是中国近代海军的摇篮，中国船政文化的发祥地。福州气候温暖湿润，四季常青，曾获“国家历史文化名城”“综合实力五十强城市”“全国环保模范城市”“全国双拥模范城市”“全国文明城市”“全国宜居城市”等称号。</w:t>
      </w:r>
    </w:p>
    <w:p>
      <w:pPr>
        <w:bidi w:val="0"/>
        <w:rPr>
          <w:sz w:val="28"/>
          <w:szCs w:val="28"/>
        </w:rPr>
      </w:pPr>
      <w:r>
        <w:rPr>
          <w:sz w:val="28"/>
          <w:szCs w:val="28"/>
        </w:rPr>
        <w:t>     学校现为“服务国家特殊需求”硕士专业学位研究生教育试点高校，福建省重点建设高校、一流应用型建设高校（A类），福建省示范性应用型本科高校、首批深化创新创业教育改革示范高校和全省党建工作示范高校。</w:t>
      </w:r>
    </w:p>
    <w:p>
      <w:pPr>
        <w:bidi w:val="0"/>
        <w:rPr>
          <w:sz w:val="28"/>
          <w:szCs w:val="28"/>
        </w:rPr>
      </w:pPr>
      <w:r>
        <w:rPr>
          <w:sz w:val="28"/>
          <w:szCs w:val="28"/>
          <w:lang w:val="en-US" w:eastAsia="zh-CN"/>
        </w:rPr>
        <w:t>因学校事业发展需要，现面向海内外诚聘英才</w:t>
      </w:r>
    </w:p>
    <w:p>
      <w:pPr>
        <w:bidi w:val="0"/>
        <w:rPr>
          <w:sz w:val="28"/>
          <w:szCs w:val="28"/>
        </w:rPr>
      </w:pPr>
    </w:p>
    <w:p>
      <w:pPr>
        <w:bidi w:val="0"/>
        <w:rPr>
          <w:sz w:val="28"/>
          <w:szCs w:val="28"/>
        </w:rPr>
      </w:pPr>
      <w:r>
        <w:rPr>
          <w:sz w:val="28"/>
          <w:szCs w:val="28"/>
          <w:lang w:val="en-US" w:eastAsia="zh-CN"/>
        </w:rPr>
        <w:t>一、招聘条件</w:t>
      </w:r>
    </w:p>
    <w:p>
      <w:pPr>
        <w:bidi w:val="0"/>
        <w:rPr>
          <w:sz w:val="28"/>
          <w:szCs w:val="28"/>
        </w:rPr>
      </w:pPr>
      <w:r>
        <w:rPr>
          <w:rFonts w:hint="eastAsia"/>
          <w:sz w:val="28"/>
          <w:szCs w:val="28"/>
        </w:rPr>
        <w:t>1.具有中华人民共和国国籍，拥护中国共产党的领导，热爱社会主义，遵守法律法规。</w:t>
      </w:r>
    </w:p>
    <w:p>
      <w:pPr>
        <w:bidi w:val="0"/>
        <w:rPr>
          <w:rFonts w:hint="eastAsia"/>
          <w:sz w:val="28"/>
          <w:szCs w:val="28"/>
        </w:rPr>
      </w:pPr>
      <w:r>
        <w:rPr>
          <w:rFonts w:hint="eastAsia"/>
          <w:sz w:val="28"/>
          <w:szCs w:val="28"/>
        </w:rPr>
        <w:t>2.热爱教育事业，具有良好的职业道德。</w:t>
      </w:r>
    </w:p>
    <w:p>
      <w:pPr>
        <w:bidi w:val="0"/>
        <w:rPr>
          <w:rFonts w:hint="eastAsia"/>
          <w:sz w:val="28"/>
          <w:szCs w:val="28"/>
        </w:rPr>
      </w:pPr>
      <w:r>
        <w:rPr>
          <w:rFonts w:hint="eastAsia"/>
          <w:sz w:val="28"/>
          <w:szCs w:val="28"/>
        </w:rPr>
        <w:t>3.品德端正，有强烈的事业心和责任感。</w:t>
      </w:r>
    </w:p>
    <w:p>
      <w:pPr>
        <w:bidi w:val="0"/>
        <w:rPr>
          <w:rFonts w:hint="eastAsia"/>
          <w:sz w:val="28"/>
          <w:szCs w:val="28"/>
        </w:rPr>
      </w:pPr>
      <w:r>
        <w:rPr>
          <w:rFonts w:hint="eastAsia"/>
          <w:sz w:val="28"/>
          <w:szCs w:val="28"/>
        </w:rPr>
        <w:t>4.身心健康，具有良好的敬业精神和团队合作精神。</w:t>
      </w:r>
    </w:p>
    <w:p>
      <w:pPr>
        <w:bidi w:val="0"/>
        <w:rPr>
          <w:rFonts w:hint="eastAsia"/>
          <w:sz w:val="28"/>
          <w:szCs w:val="28"/>
        </w:rPr>
      </w:pPr>
      <w:r>
        <w:rPr>
          <w:rFonts w:hint="eastAsia"/>
          <w:sz w:val="28"/>
          <w:szCs w:val="28"/>
        </w:rPr>
        <w:t>5.具有博士研究生学历学位。青年博士应聘者年龄一般不超过40周岁；具有博士学位、副高级专业技术职务的应聘者年龄一般不超过45周岁；具有博士学位、正高级专业技术职务的应聘者年龄一般不超过50周岁。</w:t>
      </w:r>
    </w:p>
    <w:p>
      <w:pPr>
        <w:bidi w:val="0"/>
        <w:rPr>
          <w:rFonts w:hint="eastAsia"/>
          <w:sz w:val="28"/>
          <w:szCs w:val="28"/>
        </w:rPr>
      </w:pPr>
      <w:r>
        <w:rPr>
          <w:rFonts w:hint="eastAsia"/>
          <w:sz w:val="28"/>
          <w:szCs w:val="28"/>
        </w:rPr>
        <w:t>应聘时须取得与岗位要求一致的证书、取得境外学历学位的报名者应提供教育部留学服务中心出具的学历学位认证书。取得学历学位证书、认证书的截止时间为2024年8月31日，逾期取消录用资格。应聘人员年龄计算截至</w:t>
      </w:r>
      <w:r>
        <w:rPr>
          <w:rFonts w:hint="eastAsia"/>
          <w:sz w:val="28"/>
          <w:szCs w:val="28"/>
          <w:lang w:eastAsia="zh-CN"/>
        </w:rPr>
        <w:t>2024</w:t>
      </w:r>
      <w:r>
        <w:rPr>
          <w:rFonts w:hint="eastAsia"/>
          <w:sz w:val="28"/>
          <w:szCs w:val="28"/>
        </w:rPr>
        <w:t>年1月1日。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rPr>
        <w:t>一、</w:t>
      </w:r>
      <w:r>
        <w:rPr>
          <w:rFonts w:hint="eastAsia" w:ascii="Times New Roman" w:hAnsi="Times New Roman" w:eastAsia="黑体" w:cs="Times New Roman"/>
          <w:sz w:val="32"/>
          <w:szCs w:val="32"/>
          <w:lang w:val="en-US" w:eastAsia="zh-CN"/>
        </w:rPr>
        <w:t>招聘条件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1.具有中华人民共和国国籍，拥护中国共产党的领导，热爱社会主义，遵守法律法规。</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2.热爱教育事业，具有良好的职业道德。</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3.品德端正，有强烈的事业心和责任感。</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4.身心健康，具有良好的敬业精神和团队合作精神。</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5.具有博士研究生学历学位。青年博士应聘者年龄一般不超过40周岁；具有博士学位、副高级专业技术职务的应聘者年龄一般不超过45周岁；具有博士学位、正高级专业技术职务的应聘者年龄一般不超过50周岁。</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应聘时须取得与岗位要求一致的证书、取得境外学历学位的报名者应提供教育部留学服务中心出具的学历学位认证书。取得学历学位证书、认证书的截止时间为2024年8月31日，逾期取消录用资格。应聘人员年龄计算截至2024年1月1日。</w:t>
      </w:r>
    </w:p>
    <w:p>
      <w:pPr>
        <w:spacing w:line="560" w:lineRule="exact"/>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二、引进待遇</w:t>
      </w:r>
    </w:p>
    <w:p>
      <w:pPr>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（一）校内待遇</w:t>
      </w:r>
    </w:p>
    <w:p>
      <w:pPr>
        <w:spacing w:line="520" w:lineRule="exact"/>
        <w:ind w:firstLine="646"/>
        <w:jc w:val="right"/>
        <w:rPr>
          <w:szCs w:val="28"/>
        </w:rPr>
      </w:pPr>
      <w:r>
        <w:rPr>
          <w:szCs w:val="28"/>
        </w:rPr>
        <w:t>货币单位：万元（人民币）</w:t>
      </w:r>
    </w:p>
    <w:tbl>
      <w:tblPr>
        <w:tblStyle w:val="5"/>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532"/>
        <w:gridCol w:w="1556"/>
        <w:gridCol w:w="1984"/>
        <w:gridCol w:w="1488"/>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67" w:type="dxa"/>
            <w:gridSpan w:val="2"/>
            <w:vMerge w:val="restart"/>
            <w:shd w:val="clear" w:color="auto" w:fill="DEEBF6" w:themeFill="accent1" w:themeFillTint="32"/>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聘用类别</w:t>
            </w:r>
          </w:p>
        </w:tc>
        <w:tc>
          <w:tcPr>
            <w:tcW w:w="3540" w:type="dxa"/>
            <w:gridSpan w:val="2"/>
            <w:shd w:val="clear" w:color="auto" w:fill="DEEBF6" w:themeFill="accent1" w:themeFillTint="32"/>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科研启动经费</w:t>
            </w:r>
          </w:p>
        </w:tc>
        <w:tc>
          <w:tcPr>
            <w:tcW w:w="1488" w:type="dxa"/>
            <w:vMerge w:val="restart"/>
            <w:shd w:val="clear" w:color="auto" w:fill="DEEBF6" w:themeFill="accent1" w:themeFillTint="32"/>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安家或</w:t>
            </w:r>
          </w:p>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购房补贴</w:t>
            </w:r>
          </w:p>
        </w:tc>
        <w:tc>
          <w:tcPr>
            <w:tcW w:w="2289" w:type="dxa"/>
            <w:vMerge w:val="restart"/>
            <w:shd w:val="clear" w:color="auto" w:fill="DEEBF6" w:themeFill="accent1" w:themeFillTint="32"/>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业绩工资</w:t>
            </w:r>
          </w:p>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7" w:type="dxa"/>
            <w:gridSpan w:val="2"/>
            <w:vMerge w:val="continue"/>
            <w:noWrap w:val="0"/>
            <w:vAlign w:val="center"/>
          </w:tcPr>
          <w:p>
            <w:pPr>
              <w:keepNext w:val="0"/>
              <w:keepLines w:val="0"/>
              <w:pageBreakBefore w:val="0"/>
              <w:kinsoku/>
              <w:wordWrap/>
              <w:overflowPunct/>
              <w:topLinePunct w:val="0"/>
              <w:autoSpaceDN/>
              <w:bidi w:val="0"/>
              <w:adjustRightInd/>
              <w:snapToGrid/>
              <w:spacing w:line="340" w:lineRule="exact"/>
              <w:jc w:val="center"/>
              <w:rPr>
                <w:rFonts w:eastAsia="仿宋"/>
                <w:b/>
              </w:rPr>
            </w:pPr>
          </w:p>
        </w:tc>
        <w:tc>
          <w:tcPr>
            <w:tcW w:w="1556" w:type="dxa"/>
            <w:shd w:val="clear" w:color="auto" w:fill="DEEBF6" w:themeFill="accent1" w:themeFillTint="32"/>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人文社科</w:t>
            </w:r>
          </w:p>
        </w:tc>
        <w:tc>
          <w:tcPr>
            <w:tcW w:w="1984" w:type="dxa"/>
            <w:shd w:val="clear" w:color="auto" w:fill="DEEBF6" w:themeFill="accent1" w:themeFillTint="32"/>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自然科学、</w:t>
            </w:r>
          </w:p>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工程技术</w:t>
            </w:r>
          </w:p>
        </w:tc>
        <w:tc>
          <w:tcPr>
            <w:tcW w:w="1488" w:type="dxa"/>
            <w:vMerge w:val="continue"/>
            <w:noWrap w:val="0"/>
            <w:vAlign w:val="center"/>
          </w:tcPr>
          <w:p>
            <w:pPr>
              <w:keepNext w:val="0"/>
              <w:keepLines w:val="0"/>
              <w:pageBreakBefore w:val="0"/>
              <w:widowControl w:val="0"/>
              <w:kinsoku/>
              <w:wordWrap/>
              <w:overflowPunct/>
              <w:topLinePunct w:val="0"/>
              <w:autoSpaceDN/>
              <w:bidi w:val="0"/>
              <w:adjustRightInd/>
              <w:snapToGrid/>
              <w:spacing w:line="340" w:lineRule="exact"/>
              <w:jc w:val="center"/>
              <w:textAlignment w:val="auto"/>
              <w:rPr>
                <w:rFonts w:eastAsia="仿宋"/>
                <w:b/>
              </w:rPr>
            </w:pPr>
          </w:p>
        </w:tc>
        <w:tc>
          <w:tcPr>
            <w:tcW w:w="2289" w:type="dxa"/>
            <w:vMerge w:val="continue"/>
            <w:noWrap w:val="0"/>
            <w:vAlign w:val="center"/>
          </w:tcPr>
          <w:p>
            <w:pPr>
              <w:keepNext w:val="0"/>
              <w:keepLines w:val="0"/>
              <w:pageBreakBefore w:val="0"/>
              <w:widowControl w:val="0"/>
              <w:kinsoku/>
              <w:wordWrap/>
              <w:overflowPunct/>
              <w:topLinePunct w:val="0"/>
              <w:autoSpaceDN/>
              <w:bidi w:val="0"/>
              <w:adjustRightInd/>
              <w:snapToGrid/>
              <w:spacing w:line="340" w:lineRule="exact"/>
              <w:jc w:val="center"/>
              <w:textAlignment w:val="auto"/>
              <w:rPr>
                <w:rFonts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267" w:type="dxa"/>
            <w:gridSpan w:val="2"/>
            <w:noWrap w:val="0"/>
            <w:vAlign w:val="center"/>
          </w:tcPr>
          <w:p>
            <w:pPr>
              <w:keepNext w:val="0"/>
              <w:keepLines w:val="0"/>
              <w:pageBreakBefore w:val="0"/>
              <w:widowControl w:val="0"/>
              <w:kinsoku/>
              <w:wordWrap/>
              <w:overflowPunct/>
              <w:topLinePunct w:val="0"/>
              <w:autoSpaceDN/>
              <w:bidi w:val="0"/>
              <w:adjustRightInd/>
              <w:snapToGrid/>
              <w:spacing w:line="340" w:lineRule="exact"/>
              <w:jc w:val="center"/>
              <w:textAlignment w:val="auto"/>
              <w:rPr>
                <w:rFonts w:ascii="仿宋_GB2312" w:hAnsi="仿宋_GB2312" w:cs="仿宋_GB2312"/>
                <w:sz w:val="24"/>
                <w:szCs w:val="24"/>
              </w:rPr>
            </w:pPr>
            <w:r>
              <w:rPr>
                <w:rFonts w:hint="eastAsia" w:ascii="仿宋_GB2312" w:hAnsi="仿宋_GB2312" w:cs="仿宋_GB2312"/>
                <w:sz w:val="24"/>
                <w:szCs w:val="24"/>
              </w:rPr>
              <w:t>首席科学家（顾问）</w:t>
            </w:r>
          </w:p>
        </w:tc>
        <w:tc>
          <w:tcPr>
            <w:tcW w:w="7317" w:type="dxa"/>
            <w:gridSpan w:val="4"/>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267" w:type="dxa"/>
            <w:gridSpan w:val="2"/>
            <w:noWrap w:val="0"/>
            <w:vAlign w:val="center"/>
          </w:tcPr>
          <w:p>
            <w:pPr>
              <w:keepNext w:val="0"/>
              <w:keepLines w:val="0"/>
              <w:pageBreakBefore w:val="0"/>
              <w:widowControl w:val="0"/>
              <w:kinsoku/>
              <w:wordWrap/>
              <w:overflowPunct/>
              <w:topLinePunct w:val="0"/>
              <w:autoSpaceDN/>
              <w:bidi w:val="0"/>
              <w:adjustRightInd/>
              <w:snapToGrid/>
              <w:spacing w:line="340" w:lineRule="exact"/>
              <w:jc w:val="center"/>
              <w:textAlignment w:val="auto"/>
              <w:rPr>
                <w:rFonts w:ascii="仿宋_GB2312" w:hAnsi="仿宋_GB2312" w:cs="仿宋_GB2312"/>
                <w:sz w:val="24"/>
                <w:szCs w:val="24"/>
              </w:rPr>
            </w:pPr>
            <w:r>
              <w:rPr>
                <w:rFonts w:hint="eastAsia" w:ascii="仿宋_GB2312" w:hAnsi="仿宋_GB2312" w:cs="仿宋_GB2312"/>
                <w:sz w:val="24"/>
                <w:szCs w:val="24"/>
              </w:rPr>
              <w:t>闽都学者</w:t>
            </w:r>
          </w:p>
          <w:p>
            <w:pPr>
              <w:keepNext w:val="0"/>
              <w:keepLines w:val="0"/>
              <w:pageBreakBefore w:val="0"/>
              <w:widowControl w:val="0"/>
              <w:kinsoku/>
              <w:wordWrap/>
              <w:overflowPunct/>
              <w:topLinePunct w:val="0"/>
              <w:autoSpaceDN/>
              <w:bidi w:val="0"/>
              <w:adjustRightInd/>
              <w:snapToGrid/>
              <w:spacing w:line="340" w:lineRule="exact"/>
              <w:jc w:val="center"/>
              <w:textAlignment w:val="auto"/>
              <w:rPr>
                <w:rFonts w:ascii="仿宋_GB2312" w:hAnsi="仿宋_GB2312" w:cs="仿宋_GB2312"/>
                <w:sz w:val="24"/>
                <w:szCs w:val="24"/>
              </w:rPr>
            </w:pPr>
            <w:r>
              <w:rPr>
                <w:rFonts w:hint="eastAsia" w:ascii="仿宋_GB2312" w:hAnsi="仿宋_GB2312" w:cs="仿宋_GB2312"/>
                <w:sz w:val="24"/>
                <w:szCs w:val="24"/>
              </w:rPr>
              <w:t>卓越教授</w:t>
            </w:r>
          </w:p>
        </w:tc>
        <w:tc>
          <w:tcPr>
            <w:tcW w:w="1556" w:type="dxa"/>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200～300</w:t>
            </w:r>
          </w:p>
        </w:tc>
        <w:tc>
          <w:tcPr>
            <w:tcW w:w="1984" w:type="dxa"/>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1000～2000</w:t>
            </w:r>
          </w:p>
        </w:tc>
        <w:tc>
          <w:tcPr>
            <w:tcW w:w="1488" w:type="dxa"/>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200～300</w:t>
            </w:r>
          </w:p>
        </w:tc>
        <w:tc>
          <w:tcPr>
            <w:tcW w:w="2289" w:type="dxa"/>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85～115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67" w:type="dxa"/>
            <w:gridSpan w:val="2"/>
            <w:noWrap w:val="0"/>
            <w:vAlign w:val="center"/>
          </w:tcPr>
          <w:p>
            <w:pPr>
              <w:keepNext w:val="0"/>
              <w:keepLines w:val="0"/>
              <w:pageBreakBefore w:val="0"/>
              <w:widowControl w:val="0"/>
              <w:kinsoku/>
              <w:wordWrap/>
              <w:overflowPunct/>
              <w:topLinePunct w:val="0"/>
              <w:autoSpaceDN/>
              <w:bidi w:val="0"/>
              <w:adjustRightInd/>
              <w:snapToGrid/>
              <w:spacing w:line="340" w:lineRule="exact"/>
              <w:jc w:val="center"/>
              <w:textAlignment w:val="auto"/>
              <w:rPr>
                <w:rFonts w:ascii="仿宋_GB2312" w:hAnsi="仿宋_GB2312" w:cs="仿宋_GB2312"/>
                <w:sz w:val="24"/>
                <w:szCs w:val="24"/>
              </w:rPr>
            </w:pPr>
            <w:r>
              <w:rPr>
                <w:rFonts w:hint="eastAsia" w:ascii="仿宋_GB2312" w:hAnsi="仿宋_GB2312" w:cs="仿宋_GB2312"/>
                <w:sz w:val="24"/>
                <w:szCs w:val="24"/>
              </w:rPr>
              <w:t>闽都学者</w:t>
            </w:r>
          </w:p>
          <w:p>
            <w:pPr>
              <w:keepNext w:val="0"/>
              <w:keepLines w:val="0"/>
              <w:pageBreakBefore w:val="0"/>
              <w:widowControl w:val="0"/>
              <w:kinsoku/>
              <w:wordWrap/>
              <w:overflowPunct/>
              <w:topLinePunct w:val="0"/>
              <w:autoSpaceDN/>
              <w:bidi w:val="0"/>
              <w:adjustRightInd/>
              <w:snapToGrid/>
              <w:spacing w:line="340" w:lineRule="exact"/>
              <w:jc w:val="center"/>
              <w:textAlignment w:val="auto"/>
              <w:rPr>
                <w:rFonts w:ascii="仿宋_GB2312" w:hAnsi="仿宋_GB2312" w:cs="仿宋_GB2312"/>
                <w:sz w:val="24"/>
                <w:szCs w:val="24"/>
              </w:rPr>
            </w:pPr>
            <w:r>
              <w:rPr>
                <w:rFonts w:hint="eastAsia" w:ascii="仿宋_GB2312" w:hAnsi="仿宋_GB2312" w:cs="仿宋_GB2312"/>
                <w:sz w:val="24"/>
                <w:szCs w:val="24"/>
              </w:rPr>
              <w:t>特聘教授</w:t>
            </w:r>
          </w:p>
        </w:tc>
        <w:tc>
          <w:tcPr>
            <w:tcW w:w="1556" w:type="dxa"/>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1984" w:type="dxa"/>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500</w:t>
            </w:r>
          </w:p>
        </w:tc>
        <w:tc>
          <w:tcPr>
            <w:tcW w:w="1488" w:type="dxa"/>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w:t>
            </w:r>
          </w:p>
        </w:tc>
        <w:tc>
          <w:tcPr>
            <w:tcW w:w="2289" w:type="dxa"/>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2267" w:type="dxa"/>
            <w:gridSpan w:val="2"/>
            <w:noWrap w:val="0"/>
            <w:vAlign w:val="center"/>
          </w:tcPr>
          <w:p>
            <w:pPr>
              <w:keepNext w:val="0"/>
              <w:keepLines w:val="0"/>
              <w:pageBreakBefore w:val="0"/>
              <w:widowControl w:val="0"/>
              <w:kinsoku/>
              <w:wordWrap/>
              <w:overflowPunct/>
              <w:topLinePunct w:val="0"/>
              <w:autoSpaceDN/>
              <w:bidi w:val="0"/>
              <w:adjustRightInd/>
              <w:snapToGrid/>
              <w:spacing w:line="340" w:lineRule="exact"/>
              <w:jc w:val="center"/>
              <w:textAlignment w:val="auto"/>
              <w:rPr>
                <w:rFonts w:ascii="仿宋_GB2312" w:hAnsi="仿宋_GB2312" w:cs="仿宋_GB2312"/>
                <w:sz w:val="24"/>
                <w:szCs w:val="24"/>
              </w:rPr>
            </w:pPr>
            <w:r>
              <w:rPr>
                <w:rFonts w:hint="eastAsia" w:ascii="仿宋_GB2312" w:hAnsi="仿宋_GB2312" w:cs="仿宋_GB2312"/>
                <w:sz w:val="24"/>
                <w:szCs w:val="24"/>
              </w:rPr>
              <w:t>学术团队</w:t>
            </w:r>
          </w:p>
        </w:tc>
        <w:tc>
          <w:tcPr>
            <w:tcW w:w="3540" w:type="dxa"/>
            <w:gridSpan w:val="2"/>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面议</w:t>
            </w:r>
          </w:p>
        </w:tc>
        <w:tc>
          <w:tcPr>
            <w:tcW w:w="3777" w:type="dxa"/>
            <w:gridSpan w:val="2"/>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每位团队成员均按其所属</w:t>
            </w:r>
          </w:p>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人才类别的标准执行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267" w:type="dxa"/>
            <w:gridSpan w:val="2"/>
            <w:vMerge w:val="restart"/>
            <w:shd w:val="clear" w:color="auto" w:fill="DEEBF6" w:themeFill="accent1" w:themeFillTint="32"/>
            <w:noWrap w:val="0"/>
            <w:vAlign w:val="center"/>
          </w:tcPr>
          <w:p>
            <w:pPr>
              <w:keepNext w:val="0"/>
              <w:keepLines w:val="0"/>
              <w:pageBreakBefore w:val="0"/>
              <w:widowControl w:val="0"/>
              <w:kinsoku/>
              <w:wordWrap/>
              <w:overflowPunct/>
              <w:topLinePunct w:val="0"/>
              <w:autoSpaceDE w:val="0"/>
              <w:autoSpaceDN/>
              <w:bidi w:val="0"/>
              <w:adjustRightInd/>
              <w:snapToGrid/>
              <w:spacing w:line="340" w:lineRule="exact"/>
              <w:jc w:val="center"/>
              <w:textAlignment w:val="auto"/>
              <w:rPr>
                <w:sz w:val="24"/>
                <w:szCs w:val="24"/>
              </w:rPr>
            </w:pPr>
            <w:r>
              <w:rPr>
                <w:rFonts w:hint="eastAsia" w:ascii="宋体" w:hAnsi="宋体" w:eastAsia="宋体" w:cs="宋体"/>
                <w:b/>
                <w:bCs/>
                <w:i w:val="0"/>
                <w:iCs w:val="0"/>
                <w:color w:val="000000"/>
                <w:kern w:val="0"/>
                <w:sz w:val="24"/>
                <w:szCs w:val="24"/>
                <w:u w:val="none"/>
                <w:lang w:val="en-US" w:eastAsia="zh-CN" w:bidi="ar"/>
              </w:rPr>
              <w:t>聘用类别</w:t>
            </w:r>
          </w:p>
        </w:tc>
        <w:tc>
          <w:tcPr>
            <w:tcW w:w="3540" w:type="dxa"/>
            <w:gridSpan w:val="2"/>
            <w:shd w:val="clear" w:color="auto" w:fill="DEEBF6" w:themeFill="accent1" w:themeFillTint="32"/>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科研启动经费</w:t>
            </w:r>
          </w:p>
        </w:tc>
        <w:tc>
          <w:tcPr>
            <w:tcW w:w="1488" w:type="dxa"/>
            <w:vMerge w:val="restart"/>
            <w:shd w:val="clear" w:color="auto" w:fill="DEEBF6" w:themeFill="accent1" w:themeFillTint="32"/>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安家或</w:t>
            </w:r>
          </w:p>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购房补贴</w:t>
            </w:r>
          </w:p>
        </w:tc>
        <w:tc>
          <w:tcPr>
            <w:tcW w:w="2289" w:type="dxa"/>
            <w:vMerge w:val="restart"/>
            <w:shd w:val="clear" w:color="auto" w:fill="DEEBF6" w:themeFill="accent1" w:themeFillTint="32"/>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年薪</w:t>
            </w:r>
          </w:p>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（底薪+业绩奖励）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267" w:type="dxa"/>
            <w:gridSpan w:val="2"/>
            <w:vMerge w:val="continue"/>
            <w:noWrap w:val="0"/>
            <w:vAlign w:val="center"/>
          </w:tcPr>
          <w:p>
            <w:pPr>
              <w:keepNext w:val="0"/>
              <w:keepLines w:val="0"/>
              <w:pageBreakBefore w:val="0"/>
              <w:widowControl w:val="0"/>
              <w:kinsoku/>
              <w:wordWrap/>
              <w:overflowPunct/>
              <w:topLinePunct w:val="0"/>
              <w:autoSpaceDE w:val="0"/>
              <w:autoSpaceDN/>
              <w:bidi w:val="0"/>
              <w:adjustRightInd/>
              <w:snapToGrid/>
              <w:spacing w:line="340" w:lineRule="exact"/>
              <w:jc w:val="center"/>
              <w:textAlignment w:val="auto"/>
              <w:rPr>
                <w:sz w:val="24"/>
                <w:szCs w:val="24"/>
              </w:rPr>
            </w:pPr>
          </w:p>
        </w:tc>
        <w:tc>
          <w:tcPr>
            <w:tcW w:w="1556" w:type="dxa"/>
            <w:shd w:val="clear" w:color="auto" w:fill="DEEBF6" w:themeFill="accent1" w:themeFillTint="32"/>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人文社科</w:t>
            </w:r>
          </w:p>
        </w:tc>
        <w:tc>
          <w:tcPr>
            <w:tcW w:w="1984" w:type="dxa"/>
            <w:shd w:val="clear" w:color="auto" w:fill="DEEBF6" w:themeFill="accent1" w:themeFillTint="32"/>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自然科学、</w:t>
            </w:r>
          </w:p>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工程技术</w:t>
            </w:r>
          </w:p>
        </w:tc>
        <w:tc>
          <w:tcPr>
            <w:tcW w:w="1488" w:type="dxa"/>
            <w:vMerge w:val="continue"/>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2289" w:type="dxa"/>
            <w:vMerge w:val="continue"/>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35" w:type="dxa"/>
            <w:vMerge w:val="restart"/>
            <w:noWrap w:val="0"/>
            <w:vAlign w:val="center"/>
          </w:tcPr>
          <w:p>
            <w:pPr>
              <w:keepNext w:val="0"/>
              <w:keepLines w:val="0"/>
              <w:pageBreakBefore w:val="0"/>
              <w:widowControl w:val="0"/>
              <w:kinsoku/>
              <w:wordWrap/>
              <w:overflowPunct/>
              <w:topLinePunct w:val="0"/>
              <w:autoSpaceDE w:val="0"/>
              <w:autoSpaceDN/>
              <w:bidi w:val="0"/>
              <w:adjustRightInd/>
              <w:snapToGrid/>
              <w:spacing w:line="340" w:lineRule="exact"/>
              <w:jc w:val="center"/>
              <w:textAlignment w:val="auto"/>
              <w:rPr>
                <w:sz w:val="24"/>
                <w:szCs w:val="24"/>
              </w:rPr>
            </w:pPr>
            <w:r>
              <w:rPr>
                <w:sz w:val="24"/>
                <w:szCs w:val="24"/>
              </w:rPr>
              <w:t>紧缺师资</w:t>
            </w:r>
          </w:p>
        </w:tc>
        <w:tc>
          <w:tcPr>
            <w:tcW w:w="1532" w:type="dxa"/>
            <w:noWrap w:val="0"/>
            <w:vAlign w:val="center"/>
          </w:tcPr>
          <w:p>
            <w:pPr>
              <w:keepNext w:val="0"/>
              <w:keepLines w:val="0"/>
              <w:pageBreakBefore w:val="0"/>
              <w:widowControl w:val="0"/>
              <w:kinsoku/>
              <w:wordWrap/>
              <w:overflowPunct/>
              <w:topLinePunct w:val="0"/>
              <w:autoSpaceDE w:val="0"/>
              <w:autoSpaceDN/>
              <w:bidi w:val="0"/>
              <w:adjustRightInd/>
              <w:snapToGrid/>
              <w:spacing w:line="340" w:lineRule="exact"/>
              <w:jc w:val="center"/>
              <w:textAlignment w:val="auto"/>
              <w:rPr>
                <w:sz w:val="24"/>
                <w:szCs w:val="24"/>
              </w:rPr>
            </w:pPr>
            <w:r>
              <w:rPr>
                <w:sz w:val="24"/>
                <w:szCs w:val="24"/>
              </w:rPr>
              <w:t>正高级专业技术职务</w:t>
            </w:r>
          </w:p>
        </w:tc>
        <w:tc>
          <w:tcPr>
            <w:tcW w:w="1556" w:type="dxa"/>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25～30</w:t>
            </w:r>
          </w:p>
        </w:tc>
        <w:tc>
          <w:tcPr>
            <w:tcW w:w="1984" w:type="dxa"/>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90～100</w:t>
            </w:r>
          </w:p>
        </w:tc>
        <w:tc>
          <w:tcPr>
            <w:tcW w:w="1488" w:type="dxa"/>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90～100</w:t>
            </w:r>
          </w:p>
        </w:tc>
        <w:tc>
          <w:tcPr>
            <w:tcW w:w="2289" w:type="dxa"/>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35" w:type="dxa"/>
            <w:vMerge w:val="continue"/>
            <w:noWrap w:val="0"/>
            <w:vAlign w:val="center"/>
          </w:tcPr>
          <w:p>
            <w:pPr>
              <w:keepNext w:val="0"/>
              <w:keepLines w:val="0"/>
              <w:pageBreakBefore w:val="0"/>
              <w:widowControl w:val="0"/>
              <w:kinsoku/>
              <w:wordWrap/>
              <w:overflowPunct/>
              <w:topLinePunct w:val="0"/>
              <w:autoSpaceDN/>
              <w:bidi w:val="0"/>
              <w:adjustRightInd/>
              <w:snapToGrid/>
              <w:spacing w:line="340" w:lineRule="exact"/>
              <w:jc w:val="center"/>
              <w:textAlignment w:val="auto"/>
              <w:rPr>
                <w:rFonts w:eastAsia="仿宋"/>
                <w:sz w:val="18"/>
                <w:szCs w:val="21"/>
              </w:rPr>
            </w:pPr>
          </w:p>
        </w:tc>
        <w:tc>
          <w:tcPr>
            <w:tcW w:w="1532" w:type="dxa"/>
            <w:noWrap w:val="0"/>
            <w:vAlign w:val="center"/>
          </w:tcPr>
          <w:p>
            <w:pPr>
              <w:keepNext w:val="0"/>
              <w:keepLines w:val="0"/>
              <w:pageBreakBefore w:val="0"/>
              <w:widowControl w:val="0"/>
              <w:kinsoku/>
              <w:wordWrap/>
              <w:overflowPunct/>
              <w:topLinePunct w:val="0"/>
              <w:autoSpaceDE w:val="0"/>
              <w:autoSpaceDN/>
              <w:bidi w:val="0"/>
              <w:adjustRightInd/>
              <w:snapToGrid/>
              <w:spacing w:line="340" w:lineRule="exact"/>
              <w:jc w:val="center"/>
              <w:textAlignment w:val="auto"/>
              <w:rPr>
                <w:sz w:val="24"/>
                <w:szCs w:val="24"/>
              </w:rPr>
            </w:pPr>
            <w:r>
              <w:rPr>
                <w:sz w:val="24"/>
                <w:szCs w:val="24"/>
              </w:rPr>
              <w:t>副高级专业技术职务</w:t>
            </w:r>
          </w:p>
        </w:tc>
        <w:tc>
          <w:tcPr>
            <w:tcW w:w="1556" w:type="dxa"/>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20～25</w:t>
            </w:r>
          </w:p>
        </w:tc>
        <w:tc>
          <w:tcPr>
            <w:tcW w:w="1984" w:type="dxa"/>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80～90</w:t>
            </w:r>
          </w:p>
        </w:tc>
        <w:tc>
          <w:tcPr>
            <w:tcW w:w="1488" w:type="dxa"/>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80～90</w:t>
            </w:r>
          </w:p>
        </w:tc>
        <w:tc>
          <w:tcPr>
            <w:tcW w:w="2289" w:type="dxa"/>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35" w:type="dxa"/>
            <w:vMerge w:val="continue"/>
            <w:noWrap w:val="0"/>
            <w:vAlign w:val="center"/>
          </w:tcPr>
          <w:p>
            <w:pPr>
              <w:keepNext w:val="0"/>
              <w:keepLines w:val="0"/>
              <w:pageBreakBefore w:val="0"/>
              <w:widowControl w:val="0"/>
              <w:kinsoku/>
              <w:wordWrap/>
              <w:overflowPunct/>
              <w:topLinePunct w:val="0"/>
              <w:autoSpaceDN/>
              <w:bidi w:val="0"/>
              <w:adjustRightInd/>
              <w:snapToGrid/>
              <w:spacing w:line="340" w:lineRule="exact"/>
              <w:jc w:val="center"/>
              <w:textAlignment w:val="auto"/>
              <w:rPr>
                <w:rFonts w:eastAsia="仿宋"/>
                <w:sz w:val="18"/>
                <w:szCs w:val="21"/>
              </w:rPr>
            </w:pPr>
          </w:p>
        </w:tc>
        <w:tc>
          <w:tcPr>
            <w:tcW w:w="1532" w:type="dxa"/>
            <w:noWrap w:val="0"/>
            <w:vAlign w:val="center"/>
          </w:tcPr>
          <w:p>
            <w:pPr>
              <w:keepNext w:val="0"/>
              <w:keepLines w:val="0"/>
              <w:pageBreakBefore w:val="0"/>
              <w:widowControl w:val="0"/>
              <w:kinsoku/>
              <w:wordWrap/>
              <w:overflowPunct/>
              <w:topLinePunct w:val="0"/>
              <w:autoSpaceDE w:val="0"/>
              <w:autoSpaceDN/>
              <w:bidi w:val="0"/>
              <w:adjustRightInd/>
              <w:snapToGrid/>
              <w:spacing w:line="340" w:lineRule="exact"/>
              <w:jc w:val="center"/>
              <w:textAlignment w:val="auto"/>
              <w:rPr>
                <w:sz w:val="24"/>
                <w:szCs w:val="24"/>
              </w:rPr>
            </w:pPr>
            <w:r>
              <w:rPr>
                <w:sz w:val="24"/>
                <w:szCs w:val="24"/>
              </w:rPr>
              <w:t>优秀</w:t>
            </w:r>
            <w:r>
              <w:rPr>
                <w:rFonts w:hint="eastAsia"/>
                <w:sz w:val="24"/>
                <w:szCs w:val="24"/>
              </w:rPr>
              <w:t>博</w:t>
            </w:r>
            <w:r>
              <w:rPr>
                <w:sz w:val="24"/>
                <w:szCs w:val="24"/>
              </w:rPr>
              <w:t>士</w:t>
            </w:r>
          </w:p>
          <w:p>
            <w:pPr>
              <w:keepNext w:val="0"/>
              <w:keepLines w:val="0"/>
              <w:pageBreakBefore w:val="0"/>
              <w:widowControl w:val="0"/>
              <w:kinsoku/>
              <w:wordWrap/>
              <w:overflowPunct/>
              <w:topLinePunct w:val="0"/>
              <w:autoSpaceDE w:val="0"/>
              <w:autoSpaceDN/>
              <w:bidi w:val="0"/>
              <w:adjustRightInd/>
              <w:snapToGrid/>
              <w:spacing w:line="340" w:lineRule="exact"/>
              <w:jc w:val="center"/>
              <w:textAlignment w:val="auto"/>
              <w:rPr>
                <w:sz w:val="24"/>
                <w:szCs w:val="24"/>
              </w:rPr>
            </w:pPr>
            <w:r>
              <w:rPr>
                <w:sz w:val="24"/>
                <w:szCs w:val="24"/>
              </w:rPr>
              <w:t>博士后</w:t>
            </w:r>
          </w:p>
        </w:tc>
        <w:tc>
          <w:tcPr>
            <w:tcW w:w="1556" w:type="dxa"/>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10～15</w:t>
            </w:r>
          </w:p>
        </w:tc>
        <w:tc>
          <w:tcPr>
            <w:tcW w:w="1984" w:type="dxa"/>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60～80</w:t>
            </w:r>
          </w:p>
        </w:tc>
        <w:tc>
          <w:tcPr>
            <w:tcW w:w="1488" w:type="dxa"/>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40～80</w:t>
            </w:r>
          </w:p>
        </w:tc>
        <w:tc>
          <w:tcPr>
            <w:tcW w:w="2289" w:type="dxa"/>
            <w:noWrap w:val="0"/>
            <w:vAlign w:val="center"/>
          </w:tcPr>
          <w:p>
            <w:pPr>
              <w:keepNext w:val="0"/>
              <w:keepLines w:val="0"/>
              <w:pageBreakBefore w:val="0"/>
              <w:widowControl/>
              <w:suppressLineNumbers w:val="0"/>
              <w:kinsoku/>
              <w:wordWrap/>
              <w:overflowPunct/>
              <w:topLinePunct w:val="0"/>
              <w:autoSpaceDN/>
              <w:bidi w:val="0"/>
              <w:adjustRightInd/>
              <w:snapToGrid/>
              <w:spacing w:line="340" w:lineRule="exact"/>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20～27</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lang w:val="en-US" w:eastAsia="zh-CN"/>
        </w:rPr>
      </w:pPr>
      <w:r>
        <w:rPr>
          <w:rFonts w:hint="eastAsia" w:ascii="Times New Roman" w:hAnsi="Times New Roman" w:eastAsia="仿宋_GB2312" w:cs="Times New Roman"/>
          <w:kern w:val="2"/>
          <w:sz w:val="32"/>
          <w:szCs w:val="32"/>
          <w:lang w:val="en-US" w:eastAsia="zh-CN" w:bidi="ar-SA"/>
        </w:rPr>
        <w:t>应聘者符合闽都学者卓越教授、特聘教授条件的，可按规定另外享受国库工资、单位缴交的五险二金和午餐补贴；符合紧缺师资条件的，可按规定另外享受单位缴交的五险二金和午餐补贴。</w:t>
      </w:r>
    </w:p>
    <w:p>
      <w:pPr>
        <w:spacing w:line="56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（二）省、市有关待遇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学校根据福建省、</w:t>
      </w:r>
      <w:r>
        <w:rPr>
          <w:rFonts w:hint="eastAsia" w:ascii="Times New Roman" w:hAnsi="Times New Roman" w:eastAsia="仿宋_GB2312" w:cs="Times New Roman"/>
          <w:kern w:val="2"/>
          <w:sz w:val="32"/>
          <w:szCs w:val="32"/>
          <w:lang w:val="en-US" w:eastAsia="zh-CN" w:bidi="ar-SA"/>
        </w:rPr>
        <w:t>福州</w:t>
      </w:r>
      <w:r>
        <w:rPr>
          <w:rFonts w:hint="default" w:ascii="Times New Roman" w:hAnsi="Times New Roman" w:eastAsia="仿宋_GB2312" w:cs="Times New Roman"/>
          <w:kern w:val="2"/>
          <w:sz w:val="32"/>
          <w:szCs w:val="32"/>
          <w:lang w:val="en-US" w:eastAsia="zh-CN" w:bidi="ar-SA"/>
        </w:rPr>
        <w:t>市人才政策</w:t>
      </w:r>
      <w:r>
        <w:rPr>
          <w:rFonts w:hint="eastAsia" w:ascii="Times New Roman" w:hAnsi="Times New Roman" w:eastAsia="仿宋_GB2312" w:cs="Times New Roman"/>
          <w:kern w:val="2"/>
          <w:sz w:val="32"/>
          <w:szCs w:val="32"/>
          <w:lang w:val="en-US" w:eastAsia="zh-CN" w:bidi="ar-SA"/>
        </w:rPr>
        <w:t>（含引进生政策）</w:t>
      </w:r>
      <w:r>
        <w:rPr>
          <w:rFonts w:hint="default" w:ascii="Times New Roman" w:hAnsi="Times New Roman" w:eastAsia="仿宋_GB2312" w:cs="Times New Roman"/>
          <w:kern w:val="2"/>
          <w:sz w:val="32"/>
          <w:szCs w:val="32"/>
          <w:lang w:val="en-US" w:eastAsia="zh-CN" w:bidi="ar-SA"/>
        </w:rPr>
        <w:t>有关规定，积极协助符合条件的人员申报相关人才项目及补贴。</w:t>
      </w:r>
    </w:p>
    <w:p>
      <w:pPr>
        <w:spacing w:line="560" w:lineRule="exact"/>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eastAsia" w:ascii="Times New Roman" w:hAnsi="Times New Roman" w:eastAsia="黑体" w:cs="Times New Roman"/>
          <w:sz w:val="32"/>
          <w:szCs w:val="32"/>
        </w:rPr>
        <w:t>、</w:t>
      </w:r>
      <w:r>
        <w:rPr>
          <w:rFonts w:hint="eastAsia" w:ascii="Times New Roman" w:hAnsi="Times New Roman" w:eastAsia="黑体" w:cs="Times New Roman"/>
          <w:sz w:val="32"/>
          <w:szCs w:val="32"/>
          <w:lang w:val="en-US" w:eastAsia="zh-CN"/>
        </w:rPr>
        <w:t>岗位需求</w:t>
      </w:r>
    </w:p>
    <w:tbl>
      <w:tblPr>
        <w:tblStyle w:val="6"/>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8"/>
        <w:gridCol w:w="3656"/>
        <w:gridCol w:w="913"/>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40" w:type="pct"/>
            <w:shd w:val="clear" w:color="auto" w:fill="DEEBF6" w:themeFill="accent1" w:themeFillTint="32"/>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c>
          <w:tcPr>
            <w:tcW w:w="2151" w:type="pct"/>
            <w:shd w:val="clear" w:color="auto" w:fill="DEEBF6" w:themeFill="accent1" w:themeFillTint="32"/>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学科或专业需求</w:t>
            </w:r>
          </w:p>
        </w:tc>
        <w:tc>
          <w:tcPr>
            <w:tcW w:w="537" w:type="pct"/>
            <w:shd w:val="clear" w:color="auto" w:fill="DEEBF6" w:themeFill="accent1" w:themeFillTint="32"/>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需求人数</w:t>
            </w:r>
          </w:p>
        </w:tc>
        <w:tc>
          <w:tcPr>
            <w:tcW w:w="1070" w:type="pct"/>
            <w:shd w:val="clear" w:color="auto" w:fill="DEEBF6" w:themeFill="accent1" w:themeFillTint="32"/>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40"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马克思主义学院</w:t>
            </w:r>
          </w:p>
        </w:tc>
        <w:tc>
          <w:tcPr>
            <w:tcW w:w="2151"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马克思主义理论类、政治学类、哲学类</w:t>
            </w:r>
          </w:p>
        </w:tc>
        <w:tc>
          <w:tcPr>
            <w:tcW w:w="537"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w:t>
            </w:r>
          </w:p>
        </w:tc>
        <w:tc>
          <w:tcPr>
            <w:tcW w:w="1070" w:type="pct"/>
            <w:vAlign w:val="center"/>
          </w:tcPr>
          <w:p>
            <w:pPr>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240"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新华都商学院</w:t>
            </w:r>
          </w:p>
        </w:tc>
        <w:tc>
          <w:tcPr>
            <w:tcW w:w="2151" w:type="pct"/>
            <w:vAlign w:val="center"/>
          </w:tcPr>
          <w:p>
            <w:pPr>
              <w:jc w:val="center"/>
              <w:rPr>
                <w:rFonts w:hint="eastAsia" w:ascii="仿宋_GB2312" w:hAnsi="仿宋_GB2312" w:eastAsia="仿宋_GB2312" w:cs="仿宋_GB2312"/>
                <w:b w:val="0"/>
                <w:bCs w:val="0"/>
                <w:sz w:val="24"/>
                <w:szCs w:val="24"/>
                <w:highlight w:val="none"/>
                <w:lang w:val="en-US" w:eastAsia="zh-CN" w:bidi="ar"/>
              </w:rPr>
            </w:pPr>
            <w:r>
              <w:rPr>
                <w:rFonts w:hint="eastAsia" w:ascii="仿宋_GB2312" w:hAnsi="仿宋_GB2312" w:eastAsia="仿宋_GB2312" w:cs="仿宋_GB2312"/>
                <w:sz w:val="24"/>
                <w:szCs w:val="24"/>
                <w:highlight w:val="none"/>
                <w:lang w:val="en-US" w:eastAsia="zh-CN" w:bidi="ar"/>
              </w:rPr>
              <w:t>会计与审计类、工商管理类</w:t>
            </w:r>
            <w:r>
              <w:rPr>
                <w:rFonts w:hint="eastAsia" w:ascii="仿宋_GB2312" w:hAnsi="仿宋_GB2312" w:eastAsia="仿宋_GB2312" w:cs="仿宋_GB2312"/>
                <w:b w:val="0"/>
                <w:bCs w:val="0"/>
                <w:sz w:val="24"/>
                <w:szCs w:val="24"/>
                <w:highlight w:val="none"/>
                <w:lang w:val="en-US" w:eastAsia="zh-CN" w:bidi="ar"/>
              </w:rPr>
              <w:t>、</w:t>
            </w:r>
          </w:p>
          <w:p>
            <w:pPr>
              <w:jc w:val="center"/>
              <w:rPr>
                <w:rFonts w:hint="default" w:ascii="仿宋_GB2312" w:hAnsi="仿宋_GB2312" w:eastAsia="仿宋_GB2312" w:cs="仿宋_GB2312"/>
                <w:sz w:val="24"/>
                <w:szCs w:val="24"/>
                <w:highlight w:val="none"/>
                <w:lang w:val="en-US" w:eastAsia="zh-CN" w:bidi="ar"/>
              </w:rPr>
            </w:pPr>
            <w:r>
              <w:rPr>
                <w:rFonts w:hint="eastAsia" w:ascii="仿宋_GB2312" w:hAnsi="仿宋_GB2312" w:eastAsia="仿宋_GB2312" w:cs="仿宋_GB2312"/>
                <w:b w:val="0"/>
                <w:bCs w:val="0"/>
                <w:sz w:val="24"/>
                <w:szCs w:val="24"/>
                <w:highlight w:val="none"/>
                <w:lang w:val="en-US" w:eastAsia="zh-CN" w:bidi="ar"/>
              </w:rPr>
              <w:t>财政金融类</w:t>
            </w:r>
          </w:p>
        </w:tc>
        <w:tc>
          <w:tcPr>
            <w:tcW w:w="537"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7</w:t>
            </w:r>
          </w:p>
        </w:tc>
        <w:tc>
          <w:tcPr>
            <w:tcW w:w="1070" w:type="pct"/>
            <w:vAlign w:val="center"/>
          </w:tcPr>
          <w:p>
            <w:pPr>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40"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经济与管理学院</w:t>
            </w:r>
          </w:p>
        </w:tc>
        <w:tc>
          <w:tcPr>
            <w:tcW w:w="2151"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highlight w:val="none"/>
                <w:lang w:val="en-US" w:eastAsia="zh-CN" w:bidi="ar"/>
              </w:rPr>
              <w:t>会计与审计类、管理科学与工程类、旅游餐饮类、经济贸易类、电商物流类</w:t>
            </w:r>
          </w:p>
        </w:tc>
        <w:tc>
          <w:tcPr>
            <w:tcW w:w="537"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8</w:t>
            </w:r>
          </w:p>
        </w:tc>
        <w:tc>
          <w:tcPr>
            <w:tcW w:w="1070" w:type="pct"/>
            <w:vAlign w:val="center"/>
          </w:tcPr>
          <w:p>
            <w:pPr>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40"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人文学院</w:t>
            </w:r>
          </w:p>
        </w:tc>
        <w:tc>
          <w:tcPr>
            <w:tcW w:w="2151" w:type="pct"/>
            <w:vAlign w:val="center"/>
          </w:tcPr>
          <w:p>
            <w:pPr>
              <w:jc w:val="center"/>
              <w:rPr>
                <w:rFonts w:hint="eastAsia" w:ascii="仿宋_GB2312" w:hAnsi="仿宋_GB2312" w:eastAsia="仿宋_GB2312" w:cs="仿宋_GB2312"/>
                <w:sz w:val="24"/>
                <w:szCs w:val="24"/>
                <w:highlight w:val="none"/>
                <w:lang w:val="en-US" w:eastAsia="zh-CN" w:bidi="ar"/>
              </w:rPr>
            </w:pPr>
            <w:r>
              <w:rPr>
                <w:rFonts w:hint="eastAsia" w:ascii="仿宋_GB2312" w:hAnsi="仿宋_GB2312" w:eastAsia="仿宋_GB2312" w:cs="仿宋_GB2312"/>
                <w:sz w:val="24"/>
                <w:szCs w:val="24"/>
                <w:highlight w:val="none"/>
                <w:lang w:val="en-US" w:eastAsia="zh-CN" w:bidi="ar"/>
              </w:rPr>
              <w:t>中国语言文学类、教育学类、</w:t>
            </w:r>
          </w:p>
          <w:p>
            <w:pPr>
              <w:jc w:val="center"/>
              <w:rPr>
                <w:rFonts w:hint="default" w:ascii="仿宋_GB2312" w:hAnsi="仿宋_GB2312" w:eastAsia="仿宋_GB2312" w:cs="仿宋_GB2312"/>
                <w:sz w:val="24"/>
                <w:szCs w:val="24"/>
                <w:highlight w:val="none"/>
                <w:lang w:val="en-US" w:eastAsia="zh-CN" w:bidi="ar"/>
              </w:rPr>
            </w:pPr>
            <w:r>
              <w:rPr>
                <w:rFonts w:hint="eastAsia" w:ascii="仿宋_GB2312" w:hAnsi="仿宋_GB2312" w:eastAsia="仿宋_GB2312" w:cs="仿宋_GB2312"/>
                <w:sz w:val="24"/>
                <w:szCs w:val="24"/>
                <w:highlight w:val="none"/>
                <w:lang w:val="en-US" w:eastAsia="zh-CN" w:bidi="ar"/>
              </w:rPr>
              <w:t>历史学类</w:t>
            </w:r>
          </w:p>
        </w:tc>
        <w:tc>
          <w:tcPr>
            <w:tcW w:w="537"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7</w:t>
            </w:r>
          </w:p>
        </w:tc>
        <w:tc>
          <w:tcPr>
            <w:tcW w:w="1070"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教育学类需求专业方向为课程与教学论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40"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外国语学院</w:t>
            </w:r>
          </w:p>
        </w:tc>
        <w:tc>
          <w:tcPr>
            <w:tcW w:w="2151"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highlight w:val="none"/>
                <w:lang w:val="en-US" w:eastAsia="zh-CN" w:bidi="ar"/>
              </w:rPr>
              <w:t>外国语言文学类</w:t>
            </w:r>
          </w:p>
        </w:tc>
        <w:tc>
          <w:tcPr>
            <w:tcW w:w="537"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w:t>
            </w:r>
          </w:p>
        </w:tc>
        <w:tc>
          <w:tcPr>
            <w:tcW w:w="1070"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需求专业方向为英语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40"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法学院</w:t>
            </w:r>
          </w:p>
        </w:tc>
        <w:tc>
          <w:tcPr>
            <w:tcW w:w="2151"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highlight w:val="none"/>
                <w:lang w:val="en-US" w:eastAsia="zh-CN" w:bidi="ar"/>
              </w:rPr>
              <w:t>法学类</w:t>
            </w:r>
          </w:p>
        </w:tc>
        <w:tc>
          <w:tcPr>
            <w:tcW w:w="537"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w:t>
            </w:r>
          </w:p>
        </w:tc>
        <w:tc>
          <w:tcPr>
            <w:tcW w:w="1070" w:type="pct"/>
            <w:vAlign w:val="center"/>
          </w:tcPr>
          <w:p>
            <w:pPr>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40"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新闻与传播学院</w:t>
            </w:r>
          </w:p>
        </w:tc>
        <w:tc>
          <w:tcPr>
            <w:tcW w:w="2151"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highlight w:val="none"/>
                <w:lang w:val="en-US" w:eastAsia="zh-CN" w:bidi="ar"/>
              </w:rPr>
              <w:t>新闻传播学类、艺术设计类</w:t>
            </w:r>
          </w:p>
        </w:tc>
        <w:tc>
          <w:tcPr>
            <w:tcW w:w="537"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7</w:t>
            </w:r>
          </w:p>
        </w:tc>
        <w:tc>
          <w:tcPr>
            <w:tcW w:w="1070" w:type="pct"/>
            <w:vAlign w:val="center"/>
          </w:tcPr>
          <w:p>
            <w:pPr>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40"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美术学院</w:t>
            </w:r>
          </w:p>
        </w:tc>
        <w:tc>
          <w:tcPr>
            <w:tcW w:w="2151"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highlight w:val="none"/>
                <w:lang w:val="en-US" w:eastAsia="zh-CN" w:bidi="ar"/>
              </w:rPr>
              <w:t>艺术设计类</w:t>
            </w:r>
          </w:p>
        </w:tc>
        <w:tc>
          <w:tcPr>
            <w:tcW w:w="537"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5</w:t>
            </w:r>
          </w:p>
        </w:tc>
        <w:tc>
          <w:tcPr>
            <w:tcW w:w="1070" w:type="pct"/>
            <w:vAlign w:val="center"/>
          </w:tcPr>
          <w:p>
            <w:pPr>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40"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蔡继琨音乐学院</w:t>
            </w:r>
          </w:p>
        </w:tc>
        <w:tc>
          <w:tcPr>
            <w:tcW w:w="2151"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highlight w:val="none"/>
                <w:lang w:val="en-US" w:eastAsia="zh-CN" w:bidi="ar"/>
              </w:rPr>
              <w:t>表演艺术类</w:t>
            </w:r>
          </w:p>
        </w:tc>
        <w:tc>
          <w:tcPr>
            <w:tcW w:w="537"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w:t>
            </w:r>
          </w:p>
        </w:tc>
        <w:tc>
          <w:tcPr>
            <w:tcW w:w="1070" w:type="pct"/>
            <w:vAlign w:val="center"/>
          </w:tcPr>
          <w:p>
            <w:pPr>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240"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服装与艺术工程学院</w:t>
            </w:r>
          </w:p>
        </w:tc>
        <w:tc>
          <w:tcPr>
            <w:tcW w:w="2151"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纺织科学与工程类、艺术设计类</w:t>
            </w:r>
          </w:p>
        </w:tc>
        <w:tc>
          <w:tcPr>
            <w:tcW w:w="537"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7</w:t>
            </w:r>
          </w:p>
        </w:tc>
        <w:tc>
          <w:tcPr>
            <w:tcW w:w="1070"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艺术设计类需求专业方向为设计学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240"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数学与数据科学学院</w:t>
            </w:r>
          </w:p>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（软件学院)</w:t>
            </w:r>
          </w:p>
        </w:tc>
        <w:tc>
          <w:tcPr>
            <w:tcW w:w="2151"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数学类、</w:t>
            </w:r>
            <w:r>
              <w:rPr>
                <w:rFonts w:hint="eastAsia" w:ascii="仿宋_GB2312" w:hAnsi="仿宋_GB2312" w:eastAsia="仿宋_GB2312" w:cs="仿宋_GB2312"/>
                <w:b w:val="0"/>
                <w:bCs w:val="0"/>
                <w:kern w:val="2"/>
                <w:sz w:val="24"/>
                <w:szCs w:val="24"/>
                <w:vertAlign w:val="baseline"/>
                <w:lang w:val="en-US" w:eastAsia="zh-CN" w:bidi="ar-SA"/>
              </w:rPr>
              <w:t>统计学类、</w:t>
            </w:r>
            <w:r>
              <w:rPr>
                <w:rFonts w:hint="eastAsia" w:ascii="仿宋_GB2312" w:hAnsi="仿宋_GB2312" w:eastAsia="仿宋_GB2312" w:cs="仿宋_GB2312"/>
                <w:kern w:val="2"/>
                <w:sz w:val="24"/>
                <w:szCs w:val="24"/>
                <w:vertAlign w:val="baseline"/>
                <w:lang w:val="en-US" w:eastAsia="zh-CN" w:bidi="ar-SA"/>
              </w:rPr>
              <w:t>计算机科学与技术类</w:t>
            </w:r>
          </w:p>
        </w:tc>
        <w:tc>
          <w:tcPr>
            <w:tcW w:w="537"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w:t>
            </w:r>
          </w:p>
        </w:tc>
        <w:tc>
          <w:tcPr>
            <w:tcW w:w="1070" w:type="pct"/>
            <w:vAlign w:val="center"/>
          </w:tcPr>
          <w:p>
            <w:pPr>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240"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计算机与控制工程学院</w:t>
            </w:r>
          </w:p>
        </w:tc>
        <w:tc>
          <w:tcPr>
            <w:tcW w:w="2151"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计算机科学与技术类</w:t>
            </w:r>
          </w:p>
        </w:tc>
        <w:tc>
          <w:tcPr>
            <w:tcW w:w="537"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11</w:t>
            </w:r>
          </w:p>
        </w:tc>
        <w:tc>
          <w:tcPr>
            <w:tcW w:w="1070" w:type="pct"/>
            <w:vAlign w:val="center"/>
          </w:tcPr>
          <w:p>
            <w:pPr>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40"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物理与电子信息工程学院</w:t>
            </w:r>
          </w:p>
        </w:tc>
        <w:tc>
          <w:tcPr>
            <w:tcW w:w="2151"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机械类</w:t>
            </w:r>
            <w:r>
              <w:rPr>
                <w:rFonts w:hint="eastAsia" w:ascii="仿宋_GB2312" w:hAnsi="仿宋_GB2312" w:eastAsia="仿宋_GB2312" w:cs="仿宋_GB2312"/>
                <w:sz w:val="24"/>
                <w:szCs w:val="24"/>
                <w:highlight w:val="none"/>
                <w:lang w:val="en-US" w:eastAsia="zh-CN" w:bidi="ar"/>
              </w:rPr>
              <w:t>、电子信息类、电气自动化类、海洋工程类、交通运输综合管理类、仪器仪表类</w:t>
            </w:r>
          </w:p>
        </w:tc>
        <w:tc>
          <w:tcPr>
            <w:tcW w:w="537"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12</w:t>
            </w:r>
          </w:p>
        </w:tc>
        <w:tc>
          <w:tcPr>
            <w:tcW w:w="1070" w:type="pct"/>
            <w:vAlign w:val="center"/>
          </w:tcPr>
          <w:p>
            <w:pPr>
              <w:jc w:val="left"/>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机械类需求专业方向为机器人工程、智能制造，机械电子工程、智能机器人、机械设计及理论、机械制造及其自动化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40"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材料与化学工程学院</w:t>
            </w:r>
          </w:p>
        </w:tc>
        <w:tc>
          <w:tcPr>
            <w:tcW w:w="2151"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材料类</w:t>
            </w:r>
            <w:r>
              <w:rPr>
                <w:rFonts w:hint="eastAsia" w:ascii="仿宋_GB2312" w:hAnsi="仿宋_GB2312" w:eastAsia="仿宋_GB2312" w:cs="仿宋_GB2312"/>
                <w:sz w:val="24"/>
                <w:szCs w:val="24"/>
                <w:highlight w:val="none"/>
                <w:lang w:val="en-US" w:eastAsia="zh-CN" w:bidi="ar"/>
              </w:rPr>
              <w:t>、化学类</w:t>
            </w:r>
          </w:p>
        </w:tc>
        <w:tc>
          <w:tcPr>
            <w:tcW w:w="537"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w:t>
            </w:r>
          </w:p>
        </w:tc>
        <w:tc>
          <w:tcPr>
            <w:tcW w:w="1070" w:type="pct"/>
            <w:vAlign w:val="center"/>
          </w:tcPr>
          <w:p>
            <w:pPr>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40"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地理与海洋学院</w:t>
            </w:r>
          </w:p>
        </w:tc>
        <w:tc>
          <w:tcPr>
            <w:tcW w:w="2151"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highlight w:val="none"/>
                <w:lang w:val="en-US" w:eastAsia="zh-CN" w:bidi="ar"/>
              </w:rPr>
              <w:t>地理科学类、海洋科学类</w:t>
            </w:r>
          </w:p>
        </w:tc>
        <w:tc>
          <w:tcPr>
            <w:tcW w:w="537"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w:t>
            </w:r>
          </w:p>
        </w:tc>
        <w:tc>
          <w:tcPr>
            <w:tcW w:w="1070" w:type="pct"/>
            <w:vAlign w:val="center"/>
          </w:tcPr>
          <w:p>
            <w:pPr>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40"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公共体育教学部</w:t>
            </w:r>
          </w:p>
        </w:tc>
        <w:tc>
          <w:tcPr>
            <w:tcW w:w="2151"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体育学类</w:t>
            </w:r>
          </w:p>
        </w:tc>
        <w:tc>
          <w:tcPr>
            <w:tcW w:w="537"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1</w:t>
            </w:r>
          </w:p>
        </w:tc>
        <w:tc>
          <w:tcPr>
            <w:tcW w:w="1070" w:type="pct"/>
            <w:vAlign w:val="center"/>
          </w:tcPr>
          <w:p>
            <w:pPr>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40"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教师教育学院</w:t>
            </w:r>
          </w:p>
        </w:tc>
        <w:tc>
          <w:tcPr>
            <w:tcW w:w="2151"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highlight w:val="none"/>
                <w:lang w:val="en-US" w:eastAsia="zh-CN" w:bidi="ar"/>
              </w:rPr>
              <w:t>心理学类</w:t>
            </w:r>
          </w:p>
        </w:tc>
        <w:tc>
          <w:tcPr>
            <w:tcW w:w="537"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w:t>
            </w:r>
          </w:p>
        </w:tc>
        <w:tc>
          <w:tcPr>
            <w:tcW w:w="1070" w:type="pct"/>
            <w:vAlign w:val="center"/>
          </w:tcPr>
          <w:p>
            <w:pPr>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40"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乡村振兴研究院</w:t>
            </w:r>
          </w:p>
        </w:tc>
        <w:tc>
          <w:tcPr>
            <w:tcW w:w="2151"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依托相关专业招聘</w:t>
            </w:r>
          </w:p>
        </w:tc>
        <w:tc>
          <w:tcPr>
            <w:tcW w:w="537"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w:t>
            </w:r>
          </w:p>
        </w:tc>
        <w:tc>
          <w:tcPr>
            <w:tcW w:w="1070" w:type="pct"/>
            <w:vAlign w:val="center"/>
          </w:tcPr>
          <w:p>
            <w:pPr>
              <w:jc w:val="center"/>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40"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福州海洋研究院</w:t>
            </w:r>
          </w:p>
        </w:tc>
        <w:tc>
          <w:tcPr>
            <w:tcW w:w="2151" w:type="pct"/>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水产类、食品科学与工程类</w:t>
            </w:r>
          </w:p>
        </w:tc>
        <w:tc>
          <w:tcPr>
            <w:tcW w:w="537" w:type="pct"/>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2</w:t>
            </w:r>
          </w:p>
        </w:tc>
        <w:tc>
          <w:tcPr>
            <w:tcW w:w="1070" w:type="pct"/>
            <w:vAlign w:val="center"/>
          </w:tcPr>
          <w:p>
            <w:pPr>
              <w:jc w:val="center"/>
              <w:rPr>
                <w:rFonts w:hint="eastAsia" w:ascii="仿宋_GB2312" w:hAnsi="仿宋_GB2312" w:eastAsia="仿宋_GB2312" w:cs="仿宋_GB2312"/>
                <w:kern w:val="2"/>
                <w:sz w:val="24"/>
                <w:szCs w:val="24"/>
                <w:vertAlign w:val="baseline"/>
                <w:lang w:val="en-US" w:eastAsia="zh-CN" w:bidi="ar-SA"/>
              </w:rPr>
            </w:pPr>
          </w:p>
        </w:tc>
      </w:tr>
    </w:tbl>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若为学校紧缺专业人才或业绩特别突出的，经学校研究后，可按照“一才一策”“一事一议”原则执行。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四、报名方式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应聘人员根据招聘公告要求将相关材料（个人简历、历次学历学位证书、应届毕业生就业推荐表、专业技术职务资格证书、主要学术水平或科研成果的证明材料等扫描件）发送至人事处电子邮箱。报名时间从信息发布即日起至2024年12月31日。投递简历文件命名：</w:t>
      </w:r>
      <w:r>
        <w:rPr>
          <w:rFonts w:hint="eastAsia" w:ascii="Times New Roman" w:hAnsi="Times New Roman" w:eastAsia="仿宋_GB2312" w:cs="Times New Roman"/>
          <w:b/>
          <w:bCs/>
          <w:color w:val="C00000"/>
          <w:kern w:val="2"/>
          <w:sz w:val="32"/>
          <w:szCs w:val="32"/>
          <w:lang w:val="en-US" w:eastAsia="zh-CN" w:bidi="ar-SA"/>
        </w:rPr>
        <w:t>意向学院+姓名+专业</w:t>
      </w:r>
      <w:r>
        <w:rPr>
          <w:rFonts w:hint="default" w:ascii="Times New Roman" w:hAnsi="Times New Roman" w:eastAsia="仿宋_GB2312" w:cs="Times New Roman"/>
          <w:b/>
          <w:bCs/>
          <w:color w:val="C00000"/>
          <w:kern w:val="2"/>
          <w:sz w:val="32"/>
          <w:szCs w:val="32"/>
          <w:lang w:val="en-US" w:eastAsia="zh-CN" w:bidi="ar-SA"/>
        </w:rPr>
        <w:t>+</w:t>
      </w:r>
      <w:r>
        <w:rPr>
          <w:rFonts w:hint="eastAsia" w:ascii="Times New Roman" w:hAnsi="Times New Roman" w:eastAsia="仿宋_GB2312" w:cs="Times New Roman"/>
          <w:b/>
          <w:bCs/>
          <w:color w:val="C00000"/>
          <w:kern w:val="2"/>
          <w:sz w:val="32"/>
          <w:szCs w:val="32"/>
          <w:lang w:val="en-US" w:eastAsia="zh-CN" w:bidi="ar-SA"/>
        </w:rPr>
        <w:t>毕业院校+</w:t>
      </w:r>
      <w:r>
        <w:rPr>
          <w:rFonts w:ascii="Times New Roman" w:hAnsi="Times New Roman" w:eastAsia="仿宋"/>
          <w:b/>
          <w:bCs/>
          <w:color w:val="C00000"/>
          <w:kern w:val="0"/>
          <w:sz w:val="30"/>
          <w:szCs w:val="30"/>
        </w:rPr>
        <w:t>高等教育人才网</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五、人事处联系方式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学校网址：http://www.mju.edu.cn/</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学校地址</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福州市大学城溪源宫路200号（邮编350121）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联系方式</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林老师</w:t>
      </w:r>
      <w:r>
        <w:rPr>
          <w:rFonts w:hint="eastAsia"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0591-83761116</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陈老师 0591-83761111</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cs="Times New Roman"/>
          <w:b/>
          <w:bCs/>
          <w:color w:val="C00000"/>
          <w:sz w:val="30"/>
          <w:szCs w:val="30"/>
        </w:rPr>
      </w:pPr>
      <w:r>
        <w:rPr>
          <w:rFonts w:hint="eastAsia" w:ascii="Times New Roman" w:hAnsi="Times New Roman" w:eastAsia="仿宋_GB2312" w:cs="Times New Roman"/>
          <w:kern w:val="2"/>
          <w:sz w:val="32"/>
          <w:szCs w:val="32"/>
          <w:lang w:val="en-US" w:eastAsia="zh-CN" w:bidi="ar-SA"/>
        </w:rPr>
        <w:t>电子邮箱：</w:t>
      </w:r>
      <w:r>
        <w:rPr>
          <w:rFonts w:hint="eastAsia" w:ascii="Times New Roman" w:hAnsi="Times New Roman" w:eastAsia="仿宋_GB2312" w:cs="Times New Roman"/>
          <w:b/>
          <w:bCs/>
          <w:color w:val="C00000"/>
          <w:kern w:val="2"/>
          <w:sz w:val="30"/>
          <w:szCs w:val="30"/>
          <w:lang w:val="en-US" w:eastAsia="zh-CN" w:bidi="ar-SA"/>
        </w:rPr>
        <w:fldChar w:fldCharType="begin"/>
      </w:r>
      <w:r>
        <w:rPr>
          <w:rFonts w:hint="eastAsia" w:ascii="Times New Roman" w:hAnsi="Times New Roman" w:eastAsia="仿宋_GB2312" w:cs="Times New Roman"/>
          <w:b/>
          <w:bCs/>
          <w:color w:val="C00000"/>
          <w:kern w:val="2"/>
          <w:sz w:val="30"/>
          <w:szCs w:val="30"/>
          <w:lang w:val="en-US" w:eastAsia="zh-CN" w:bidi="ar-SA"/>
        </w:rPr>
        <w:instrText xml:space="preserve"> HYPERLINK "mailto:mjxyrsc@163.com,jklhrsc@126.com" </w:instrText>
      </w:r>
      <w:r>
        <w:rPr>
          <w:rFonts w:hint="eastAsia" w:ascii="Times New Roman" w:hAnsi="Times New Roman" w:eastAsia="仿宋_GB2312" w:cs="Times New Roman"/>
          <w:b/>
          <w:bCs/>
          <w:color w:val="C00000"/>
          <w:kern w:val="2"/>
          <w:sz w:val="30"/>
          <w:szCs w:val="30"/>
          <w:lang w:val="en-US" w:eastAsia="zh-CN" w:bidi="ar-SA"/>
        </w:rPr>
        <w:fldChar w:fldCharType="separate"/>
      </w:r>
      <w:r>
        <w:rPr>
          <w:rStyle w:val="10"/>
          <w:rFonts w:hint="eastAsia" w:ascii="Times New Roman" w:hAnsi="Times New Roman" w:eastAsia="仿宋_GB2312" w:cs="Times New Roman"/>
          <w:b/>
          <w:bCs/>
          <w:color w:val="C00000"/>
          <w:kern w:val="2"/>
          <w:sz w:val="30"/>
          <w:szCs w:val="30"/>
          <w:lang w:val="en-US" w:eastAsia="zh-CN" w:bidi="ar-SA"/>
        </w:rPr>
        <w:t>mjxyrsc@163.com</w:t>
      </w:r>
      <w:r>
        <w:rPr>
          <w:rStyle w:val="10"/>
          <w:rFonts w:hint="default" w:ascii="Times New Roman" w:hAnsi="Times New Roman" w:eastAsia="仿宋" w:cs="Times New Roman"/>
          <w:b/>
          <w:bCs/>
          <w:color w:val="C00000"/>
          <w:sz w:val="30"/>
          <w:szCs w:val="30"/>
        </w:rPr>
        <w:t>,</w:t>
      </w:r>
      <w:r>
        <w:rPr>
          <w:rStyle w:val="10"/>
          <w:rFonts w:hint="default" w:ascii="Times New Roman" w:hAnsi="Times New Roman" w:cs="Times New Roman"/>
          <w:b/>
          <w:bCs/>
          <w:color w:val="C00000"/>
          <w:sz w:val="30"/>
          <w:szCs w:val="30"/>
        </w:rPr>
        <w:t>jklhrsc@126.com</w:t>
      </w:r>
      <w:r>
        <w:rPr>
          <w:rFonts w:hint="eastAsia" w:ascii="Times New Roman" w:hAnsi="Times New Roman" w:eastAsia="仿宋_GB2312" w:cs="Times New Roman"/>
          <w:b/>
          <w:bCs/>
          <w:color w:val="C00000"/>
          <w:kern w:val="2"/>
          <w:sz w:val="30"/>
          <w:szCs w:val="30"/>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cs="Times New Roman"/>
          <w:b/>
          <w:bCs/>
          <w:color w:val="C00000"/>
          <w:sz w:val="30"/>
          <w:szCs w:val="30"/>
          <w:lang w:val="en-US" w:eastAsia="zh-CN"/>
        </w:rPr>
      </w:pPr>
      <w:r>
        <w:rPr>
          <w:rFonts w:hint="eastAsia" w:ascii="Times New Roman" w:hAnsi="Times New Roman" w:eastAsia="仿宋_GB2312" w:cs="Times New Roman"/>
          <w:kern w:val="2"/>
          <w:sz w:val="32"/>
          <w:szCs w:val="32"/>
          <w:lang w:val="en-US" w:eastAsia="zh-CN" w:bidi="ar-SA"/>
        </w:rPr>
        <w:t>投递简历文件命名：</w:t>
      </w:r>
      <w:r>
        <w:rPr>
          <w:rFonts w:hint="eastAsia" w:ascii="Times New Roman" w:hAnsi="Times New Roman" w:eastAsia="仿宋_GB2312" w:cs="Times New Roman"/>
          <w:b/>
          <w:bCs/>
          <w:color w:val="C00000"/>
          <w:kern w:val="2"/>
          <w:sz w:val="32"/>
          <w:szCs w:val="32"/>
          <w:lang w:val="en-US" w:eastAsia="zh-CN" w:bidi="ar-SA"/>
        </w:rPr>
        <w:t>意向学院+姓名+专业</w:t>
      </w:r>
      <w:r>
        <w:rPr>
          <w:rFonts w:hint="default" w:ascii="Times New Roman" w:hAnsi="Times New Roman" w:eastAsia="仿宋_GB2312" w:cs="Times New Roman"/>
          <w:b/>
          <w:bCs/>
          <w:color w:val="C00000"/>
          <w:kern w:val="2"/>
          <w:sz w:val="32"/>
          <w:szCs w:val="32"/>
          <w:lang w:val="en-US" w:eastAsia="zh-CN" w:bidi="ar-SA"/>
        </w:rPr>
        <w:t>+</w:t>
      </w:r>
      <w:r>
        <w:rPr>
          <w:rFonts w:hint="eastAsia" w:ascii="Times New Roman" w:hAnsi="Times New Roman" w:eastAsia="仿宋_GB2312" w:cs="Times New Roman"/>
          <w:b/>
          <w:bCs/>
          <w:color w:val="C00000"/>
          <w:kern w:val="2"/>
          <w:sz w:val="32"/>
          <w:szCs w:val="32"/>
          <w:lang w:val="en-US" w:eastAsia="zh-CN" w:bidi="ar-SA"/>
        </w:rPr>
        <w:t>毕业院校+</w:t>
      </w:r>
      <w:r>
        <w:rPr>
          <w:rFonts w:ascii="Times New Roman" w:hAnsi="Times New Roman" w:eastAsia="仿宋"/>
          <w:b/>
          <w:bCs/>
          <w:color w:val="C00000"/>
          <w:kern w:val="0"/>
          <w:sz w:val="30"/>
          <w:szCs w:val="30"/>
        </w:rPr>
        <w:t>高等教育人才网</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 w:name="KSO_WPS_MARK_KEY" w:val="5f739064-f62c-4334-8eb7-3d78fb698932"/>
  </w:docVars>
  <w:rsids>
    <w:rsidRoot w:val="7B5E4C58"/>
    <w:rsid w:val="06C9339C"/>
    <w:rsid w:val="0AAB5463"/>
    <w:rsid w:val="0FFF1FCE"/>
    <w:rsid w:val="175C2C35"/>
    <w:rsid w:val="18220269"/>
    <w:rsid w:val="1D521CED"/>
    <w:rsid w:val="1E8B192A"/>
    <w:rsid w:val="1EDE7406"/>
    <w:rsid w:val="20CC642B"/>
    <w:rsid w:val="21BC415C"/>
    <w:rsid w:val="26C01D27"/>
    <w:rsid w:val="2E60483D"/>
    <w:rsid w:val="312C78FC"/>
    <w:rsid w:val="31FD161E"/>
    <w:rsid w:val="340B52BB"/>
    <w:rsid w:val="34152C52"/>
    <w:rsid w:val="3A5C3405"/>
    <w:rsid w:val="3AE353A4"/>
    <w:rsid w:val="402306F1"/>
    <w:rsid w:val="42B26C48"/>
    <w:rsid w:val="48BC4D4B"/>
    <w:rsid w:val="49932BEF"/>
    <w:rsid w:val="4A0D5FF1"/>
    <w:rsid w:val="4F21740F"/>
    <w:rsid w:val="4F4421E2"/>
    <w:rsid w:val="5368542D"/>
    <w:rsid w:val="54102619"/>
    <w:rsid w:val="56B74FAE"/>
    <w:rsid w:val="581666E6"/>
    <w:rsid w:val="584A29BD"/>
    <w:rsid w:val="58E648ED"/>
    <w:rsid w:val="59594FF7"/>
    <w:rsid w:val="59B15B2F"/>
    <w:rsid w:val="59CD1728"/>
    <w:rsid w:val="5AA237B9"/>
    <w:rsid w:val="5BD82E38"/>
    <w:rsid w:val="5CDA4D45"/>
    <w:rsid w:val="5D011713"/>
    <w:rsid w:val="60011BE0"/>
    <w:rsid w:val="63A303DC"/>
    <w:rsid w:val="64124205"/>
    <w:rsid w:val="6BB275EF"/>
    <w:rsid w:val="6F7E24A2"/>
    <w:rsid w:val="70004BD3"/>
    <w:rsid w:val="72C8641A"/>
    <w:rsid w:val="73577E87"/>
    <w:rsid w:val="763A445E"/>
    <w:rsid w:val="77A92C7B"/>
    <w:rsid w:val="7AAF2356"/>
    <w:rsid w:val="7B5E4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eastAsia="仿宋_GB2312"/>
      <w:sz w:val="3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Hyperlink"/>
    <w:basedOn w:val="7"/>
    <w:qFormat/>
    <w:uiPriority w:val="0"/>
    <w:rPr>
      <w:color w:val="0000FF"/>
      <w:u w:val="single"/>
    </w:rPr>
  </w:style>
  <w:style w:type="character" w:customStyle="1" w:styleId="11">
    <w:name w:val="item-name"/>
    <w:basedOn w:val="7"/>
    <w:qFormat/>
    <w:uiPriority w:val="0"/>
  </w:style>
  <w:style w:type="character" w:customStyle="1" w:styleId="12">
    <w:name w:val="item-name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1856</Words>
  <Characters>2012</Characters>
  <Lines>0</Lines>
  <Paragraphs>0</Paragraphs>
  <TotalTime>10</TotalTime>
  <ScaleCrop>false</ScaleCrop>
  <LinksUpToDate>false</LinksUpToDate>
  <CharactersWithSpaces>2045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2023-02-15T02:04:00Z</dcterms:created>
  <dc:creator>兔斯基～</dc:creator>
  <cp:lastModifiedBy>win10</cp:lastModifiedBy>
  <cp:lastPrinted>2023-06-21T06:59:00Z</cp:lastPrinted>
  <dcterms:modified xsi:type="dcterms:W3CDTF">2023-12-13T07:54:38Z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3A9E2C0C7257459496F456A687FBCE80_13</vt:lpwstr>
  </property>
</Properties>
</file>