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67D31" w14:textId="2206D44B" w:rsidR="00643D5F" w:rsidRPr="007C3D2C" w:rsidRDefault="00643D5F" w:rsidP="007C3D2C">
      <w:pPr>
        <w:widowControl/>
        <w:shd w:val="clear" w:color="auto" w:fill="FFFFFF"/>
        <w:spacing w:line="52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7C3D2C">
        <w:rPr>
          <w:rFonts w:ascii="方正小标宋简体" w:eastAsia="方正小标宋简体" w:hint="eastAsia"/>
          <w:sz w:val="44"/>
          <w:szCs w:val="44"/>
        </w:rPr>
        <w:t>宁波工程学院20</w:t>
      </w:r>
      <w:r w:rsidR="00C770B7" w:rsidRPr="007C3D2C">
        <w:rPr>
          <w:rFonts w:ascii="方正小标宋简体" w:eastAsia="方正小标宋简体"/>
          <w:sz w:val="44"/>
          <w:szCs w:val="44"/>
        </w:rPr>
        <w:t>24</w:t>
      </w:r>
      <w:r w:rsidRPr="007C3D2C">
        <w:rPr>
          <w:rFonts w:ascii="方正小标宋简体" w:eastAsia="方正小标宋简体" w:hint="eastAsia"/>
          <w:sz w:val="44"/>
          <w:szCs w:val="44"/>
        </w:rPr>
        <w:t>年高层次人才（教师）招聘公告</w:t>
      </w:r>
    </w:p>
    <w:p w14:paraId="005D7CF9" w14:textId="77777777" w:rsidR="00643D5F" w:rsidRPr="00643D5F" w:rsidRDefault="00643D5F" w:rsidP="007C3D2C">
      <w:pPr>
        <w:widowControl/>
        <w:spacing w:line="52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D900A77" w14:textId="77777777" w:rsidR="00643D5F" w:rsidRPr="007C3D2C" w:rsidRDefault="00643D5F" w:rsidP="007C3D2C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3D2C">
        <w:rPr>
          <w:rFonts w:ascii="黑体" w:eastAsia="黑体" w:hAnsi="黑体" w:hint="eastAsia"/>
          <w:sz w:val="32"/>
          <w:szCs w:val="32"/>
        </w:rPr>
        <w:t>一、学校简介</w:t>
      </w:r>
    </w:p>
    <w:p w14:paraId="71D35586" w14:textId="32315DAB" w:rsidR="0019625D" w:rsidRPr="0019625D" w:rsidRDefault="0019625D" w:rsidP="0019625D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宁波工程学院是经教育部批准设立，省市共建、以市为主的全日制普通本科院校、硕士学位授予单位。学校占地面积1800亩，设有风华校区、翠柏校区和前湾校区，现有19个二级教学机构，48个本科专业，24个一级学科；我校有教职工1305人，其中专任教师1063人。高级专业技术职务406人，博士534人。</w:t>
      </w:r>
    </w:p>
    <w:p w14:paraId="5384D942" w14:textId="77777777" w:rsidR="0019625D" w:rsidRPr="0019625D" w:rsidRDefault="0019625D" w:rsidP="0019625D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学校“因甬而生”,1983年宁波高等专科学校作为宁波第一所以工科为主的高校，踏着改革开放的浪潮应运而生。学校“因德而立”，办学之</w:t>
      </w:r>
      <w:proofErr w:type="gramStart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初作为</w:t>
      </w:r>
      <w:proofErr w:type="gramEnd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原联邦德国援建中国的四所高校之一，借鉴德国实施“工程师教育”成功经验和培养应用型人才教学体系，奠定了应用型的办学定位目标。学校“因用而强”,1997年成为全国示范性普通高等工程专科学校；2004年升格更名为宁波工程学院；2010年成为教育部首批61所“卓越工程师教育培养计划”实施高校；2016年入选国家产教融合建设高校；2021年获批硕士学位授予单位，同年入选国家教育强国项目和全国首批现代产业学院立项建设高校。</w:t>
      </w:r>
    </w:p>
    <w:p w14:paraId="1B8B5573" w14:textId="77777777" w:rsidR="0019625D" w:rsidRDefault="0019625D" w:rsidP="0019625D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学校重视学科建设，坚持工科为主，文、理、经、管多学科协调发展，“材料科学”“化学”学科进入基本科学指标数据库（ESI）全球前1%。学科专业全面围绕地方经济社会发展</w:t>
      </w:r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lastRenderedPageBreak/>
        <w:t>需求布局，已全面覆盖绿色石化、汽车、高端制造等三大优势产业，以及新一代信息技术、新能源等战略新兴产业。学校大力推进学科平台建设，2021年获批硕士学位授予单位及土木水利、工程管理两个专业学位硕士点。学校共</w:t>
      </w:r>
      <w:proofErr w:type="gramStart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培育省</w:t>
      </w:r>
      <w:proofErr w:type="gramEnd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一流学科6个、市重点学科7个，获批省级以上学科平台8个，参与建设的中国-中东欧国家创新合作研究中心经国家科技部批准落户宁波。杭州</w:t>
      </w:r>
      <w:proofErr w:type="gramStart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湾汽车</w:t>
      </w:r>
      <w:proofErr w:type="gramEnd"/>
      <w:r w:rsidRPr="0019625D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学院和机器人学院分别入选国家级和省级现代产业学院建设点。教学改革和专业建设卓有成效，土木工程、计算机科学与技术、化学工程与工艺、机械设计制造及其自动化、物流管理等5个专业入选国家级一流本科专业建设点，10个专业入选省一流本科专业建设点，4个专业入选省级优势特色专业，11个专业通过专业认证，国家级一流本科课程3门、省级一流课程71门，近三年获国家级教学成果奖和浙江省教学成果奖各2项。“以赛促教”蔚然成风，学校被认定为“浙江省课堂教学创新校”。</w:t>
      </w:r>
    </w:p>
    <w:p w14:paraId="5EF34C07" w14:textId="635052F4" w:rsidR="00643D5F" w:rsidRPr="007C3D2C" w:rsidRDefault="00643D5F" w:rsidP="0019625D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黑体" w:eastAsia="黑体" w:hAnsi="黑体" w:cs="Calibri"/>
          <w:b/>
          <w:bCs/>
          <w:color w:val="333333"/>
          <w:kern w:val="0"/>
          <w:sz w:val="32"/>
          <w:szCs w:val="32"/>
        </w:rPr>
      </w:pPr>
      <w:r w:rsidRPr="007C3D2C">
        <w:rPr>
          <w:rFonts w:ascii="黑体" w:eastAsia="黑体" w:hAnsi="黑体" w:cs="Calibri" w:hint="eastAsia"/>
          <w:color w:val="333333"/>
          <w:kern w:val="0"/>
          <w:sz w:val="32"/>
          <w:szCs w:val="32"/>
        </w:rPr>
        <w:t>二、</w:t>
      </w:r>
      <w:r w:rsidRPr="007C3D2C">
        <w:rPr>
          <w:rFonts w:ascii="黑体" w:eastAsia="黑体" w:hAnsi="黑体" w:cs="Calibri" w:hint="eastAsia"/>
          <w:b/>
          <w:bCs/>
          <w:color w:val="333333"/>
          <w:kern w:val="0"/>
          <w:sz w:val="32"/>
          <w:szCs w:val="32"/>
        </w:rPr>
        <w:t>高层次人才引进类别和条件</w:t>
      </w:r>
    </w:p>
    <w:p w14:paraId="1CE9025C" w14:textId="33E581B9" w:rsidR="00F90E5E" w:rsidRPr="007C3D2C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宁波工程学院高层次人才引进类型包括：学术领军人才（A1、A2、A3</w:t>
      </w:r>
      <w:r w:rsidR="007C3D2C">
        <w:rPr>
          <w:rFonts w:ascii="仿宋_GB2312" w:eastAsia="仿宋_GB2312" w:hAnsi="宋体" w:cs="Calibri"/>
          <w:color w:val="333333"/>
          <w:kern w:val="0"/>
          <w:sz w:val="32"/>
          <w:szCs w:val="32"/>
        </w:rPr>
        <w:t>,</w:t>
      </w:r>
      <w:r w:rsid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正高级职称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），学科带头人（B，正高级职称），学术骨干（C，副高级职称），优秀博士（D1、D2，中级职称）和师资博士后（E）。</w:t>
      </w:r>
    </w:p>
    <w:p w14:paraId="09071FE6" w14:textId="270CBA19" w:rsidR="00F90E5E" w:rsidRPr="007C3D2C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（一）基本要求</w:t>
      </w:r>
    </w:p>
    <w:p w14:paraId="73832C4B" w14:textId="20BB0A0D" w:rsidR="00F90E5E" w:rsidRPr="007C3D2C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为人师表，有理想信念、有道德情操、有扎实学识、有仁爱之心，忠诚于党和人民的教育事业。具有较强的教学科研和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lastRenderedPageBreak/>
        <w:t>社会服务能力，符合国家关于相应专业技术职务的任职条件要求。身心健康，遵纪守法，品行端正。</w:t>
      </w:r>
    </w:p>
    <w:p w14:paraId="67C495EC" w14:textId="335C7F6E" w:rsidR="00F90E5E" w:rsidRPr="007C3D2C" w:rsidRDefault="00F90E5E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（二）岗位要求</w:t>
      </w:r>
    </w:p>
    <w:p w14:paraId="2B2C81D4" w14:textId="247C414C" w:rsidR="00F90E5E" w:rsidRPr="007C3D2C" w:rsidRDefault="007C3D2C" w:rsidP="007C3D2C">
      <w:pPr>
        <w:widowControl/>
        <w:shd w:val="clear" w:color="auto" w:fill="FFFFFF"/>
        <w:spacing w:before="156" w:line="520" w:lineRule="exact"/>
        <w:ind w:firstLineChars="200" w:firstLine="64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详见《宁波工程学院202</w:t>
      </w:r>
      <w:r>
        <w:rPr>
          <w:rFonts w:ascii="仿宋_GB2312" w:eastAsia="仿宋_GB2312" w:hAnsi="宋体" w:cs="Calibri"/>
          <w:color w:val="333333"/>
          <w:kern w:val="0"/>
          <w:sz w:val="32"/>
          <w:szCs w:val="32"/>
        </w:rPr>
        <w:t>4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年高层次人才（教师）招聘岗位》（附件1）</w:t>
      </w:r>
      <w:r w:rsidR="00F90E5E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。</w:t>
      </w:r>
    </w:p>
    <w:p w14:paraId="3B89839E" w14:textId="77777777" w:rsidR="00643D5F" w:rsidRPr="007C3D2C" w:rsidRDefault="00643D5F" w:rsidP="00643D5F">
      <w:pPr>
        <w:widowControl/>
        <w:shd w:val="clear" w:color="auto" w:fill="FFFFFF"/>
        <w:spacing w:line="360" w:lineRule="atLeast"/>
        <w:ind w:firstLine="420"/>
        <w:jc w:val="left"/>
        <w:rPr>
          <w:rFonts w:ascii="黑体" w:eastAsia="黑体" w:hAnsi="黑体" w:cs="Calibri"/>
          <w:color w:val="333333"/>
          <w:kern w:val="0"/>
          <w:sz w:val="32"/>
          <w:szCs w:val="32"/>
        </w:rPr>
      </w:pPr>
      <w:r w:rsidRPr="007C3D2C">
        <w:rPr>
          <w:rFonts w:ascii="黑体" w:eastAsia="黑体" w:hAnsi="黑体" w:cs="Calibri" w:hint="eastAsia"/>
          <w:b/>
          <w:bCs/>
          <w:color w:val="333333"/>
          <w:kern w:val="0"/>
          <w:sz w:val="32"/>
          <w:szCs w:val="32"/>
        </w:rPr>
        <w:t>三、高层次人才引进待遇</w:t>
      </w:r>
    </w:p>
    <w:tbl>
      <w:tblPr>
        <w:tblW w:w="4850" w:type="pct"/>
        <w:tblInd w:w="1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"/>
        <w:gridCol w:w="856"/>
        <w:gridCol w:w="2225"/>
        <w:gridCol w:w="856"/>
        <w:gridCol w:w="941"/>
        <w:gridCol w:w="856"/>
        <w:gridCol w:w="1797"/>
      </w:tblGrid>
      <w:tr w:rsidR="00643D5F" w:rsidRPr="00643D5F" w14:paraId="3A1EA411" w14:textId="77777777" w:rsidTr="00643D5F">
        <w:trPr>
          <w:trHeight w:val="459"/>
        </w:trPr>
        <w:tc>
          <w:tcPr>
            <w:tcW w:w="1100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B1CAA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Cs w:val="21"/>
              </w:rPr>
              <w:t>人才类型</w:t>
            </w:r>
          </w:p>
        </w:tc>
        <w:tc>
          <w:tcPr>
            <w:tcW w:w="385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77E8C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Cs w:val="21"/>
              </w:rPr>
              <w:t>引进待遇</w:t>
            </w:r>
          </w:p>
        </w:tc>
      </w:tr>
      <w:tr w:rsidR="00643D5F" w:rsidRPr="00643D5F" w14:paraId="17E54C07" w14:textId="77777777" w:rsidTr="00643D5F">
        <w:trPr>
          <w:trHeight w:val="409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488E689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3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0DEC0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Cs w:val="21"/>
              </w:rPr>
              <w:t>安家费及购房补贴（含宁波市安家补助和购房补贴）</w:t>
            </w:r>
          </w:p>
        </w:tc>
        <w:tc>
          <w:tcPr>
            <w:tcW w:w="15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E4271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Cs w:val="21"/>
              </w:rPr>
              <w:t>平台建设及科研启动费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7C8F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Cs w:val="21"/>
              </w:rPr>
              <w:t>首聘期薪酬</w:t>
            </w:r>
          </w:p>
        </w:tc>
      </w:tr>
      <w:tr w:rsidR="00643D5F" w:rsidRPr="00643D5F" w14:paraId="1FF56B71" w14:textId="77777777" w:rsidTr="00643D5F">
        <w:trPr>
          <w:trHeight w:val="272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A26708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578A7A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4BBB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 w:val="18"/>
                <w:szCs w:val="18"/>
              </w:rPr>
              <w:t>文科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DFD81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 w:val="18"/>
                <w:szCs w:val="18"/>
              </w:rPr>
              <w:t>理科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31D0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b/>
                <w:bCs/>
                <w:color w:val="333333"/>
                <w:kern w:val="0"/>
                <w:sz w:val="18"/>
                <w:szCs w:val="18"/>
              </w:rPr>
              <w:t>工科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5D3CE1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7091CD85" w14:textId="77777777" w:rsidTr="00643D5F">
        <w:trPr>
          <w:trHeight w:val="634"/>
        </w:trPr>
        <w:tc>
          <w:tcPr>
            <w:tcW w:w="6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79084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学术领军人才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CFD9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A1类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5A501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不低于1000万，</w:t>
            </w:r>
          </w:p>
          <w:p w14:paraId="1707E3DE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15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D809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AB22B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年薪，协商确定</w:t>
            </w:r>
          </w:p>
        </w:tc>
      </w:tr>
      <w:tr w:rsidR="00643D5F" w:rsidRPr="00643D5F" w14:paraId="426BF4FA" w14:textId="77777777" w:rsidTr="00643D5F">
        <w:trPr>
          <w:trHeight w:val="5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4866679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5ECDF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A2</w:t>
            </w: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24"/>
                <w:szCs w:val="24"/>
              </w:rPr>
              <w:t>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D1AB4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不低于400万，</w:t>
            </w:r>
          </w:p>
          <w:p w14:paraId="5C663040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15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5DE51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3EA5D1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3E2E3730" w14:textId="77777777" w:rsidTr="00643D5F">
        <w:trPr>
          <w:trHeight w:val="6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A2018C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232D2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A3类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48FC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不低于250万，</w:t>
            </w:r>
          </w:p>
          <w:p w14:paraId="750BEDC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15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DBF2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一人一议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8A8572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410867C4" w14:textId="77777777" w:rsidTr="00643D5F">
        <w:trPr>
          <w:trHeight w:val="549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7FEF0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学科带头人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BF02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B类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85C5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200万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B1F1E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50万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58D80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100万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24BE7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150万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6C60B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年薪或按学校薪酬制度执行</w:t>
            </w:r>
          </w:p>
        </w:tc>
      </w:tr>
      <w:tr w:rsidR="00643D5F" w:rsidRPr="00643D5F" w14:paraId="5505B263" w14:textId="77777777" w:rsidTr="00643D5F">
        <w:trPr>
          <w:trHeight w:val="557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1A6E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学术骨干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C46C1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C类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3305B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150万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2EF85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15万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BA0B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30万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0D5A3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Cs w:val="21"/>
              </w:rPr>
              <w:t>50万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908331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0F7C2381" w14:textId="77777777" w:rsidTr="00643D5F">
        <w:trPr>
          <w:trHeight w:val="570"/>
        </w:trPr>
        <w:tc>
          <w:tcPr>
            <w:tcW w:w="6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953A9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 w:val="18"/>
                <w:szCs w:val="18"/>
              </w:rPr>
              <w:t>优秀博士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B501D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D1类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D3A95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110万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D3BFE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7万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3859E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15万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9F27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15万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278092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02DA9303" w14:textId="77777777" w:rsidTr="00643D5F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86AC3C3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4D6A6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D2类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B6ABB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90万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A6C44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5万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8287F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7万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66808" w14:textId="77777777" w:rsidR="00643D5F" w:rsidRPr="00643D5F" w:rsidRDefault="00643D5F" w:rsidP="00643D5F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000000"/>
                <w:kern w:val="0"/>
                <w:szCs w:val="21"/>
              </w:rPr>
              <w:t>7万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B1B0DA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43D5F" w:rsidRPr="00643D5F" w14:paraId="16C4FEB6" w14:textId="77777777" w:rsidTr="00643D5F">
        <w:trPr>
          <w:trHeight w:val="1256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686AD" w14:textId="77777777" w:rsidR="00643D5F" w:rsidRPr="00643D5F" w:rsidRDefault="00643D5F" w:rsidP="00643D5F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注：1.以上待遇均为税前，扣税政策按宁波市有关规定执行；</w:t>
            </w:r>
          </w:p>
          <w:p w14:paraId="2AA95140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2.宁波市购房补贴</w:t>
            </w:r>
            <w:proofErr w:type="gramStart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申领须</w:t>
            </w:r>
            <w:proofErr w:type="gramEnd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符合相关规定，一般为20-60万元，且在购房后申领；</w:t>
            </w:r>
          </w:p>
          <w:p w14:paraId="3C9EC9C9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3.C类及以上各类人才的安家费及购房补贴（扣除宁波市购房补贴后）在入职后申领30%，其余部分在购房时一次性发放；</w:t>
            </w:r>
          </w:p>
          <w:p w14:paraId="32AFED13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4.入职杭州湾校区者安家费增加10万元，分五年发放，若五年内调离杭州湾将不再发放；</w:t>
            </w:r>
          </w:p>
          <w:p w14:paraId="2226CF91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5.B类、C类、D1类若为紧缺学科专业增加安家费20万元，紧缺学科专业名单由学校发布；</w:t>
            </w:r>
          </w:p>
          <w:p w14:paraId="45F5A31A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6.D类人才符合宁波市博士后出站留甬（来甬）工作补助申报条件的，安家费及购房补贴增加5万元；</w:t>
            </w:r>
          </w:p>
          <w:p w14:paraId="7B7EE379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lastRenderedPageBreak/>
              <w:t>7.E类人才在</w:t>
            </w:r>
            <w:proofErr w:type="gramStart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站期间</w:t>
            </w:r>
            <w:proofErr w:type="gramEnd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年薪不低于21万且取得业绩可参与学校绩效分配。按《宁波工程学院博士后科研工作站管理办法》考核合格出站人员达到D1类人才引进条件者，学校按D1类人才引进并兑现待遇，享受安家费和博士后</w:t>
            </w:r>
            <w:proofErr w:type="gramStart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留甬工作</w:t>
            </w:r>
            <w:proofErr w:type="gramEnd"/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补贴共计115万；</w:t>
            </w:r>
          </w:p>
          <w:p w14:paraId="4DE9A0A7" w14:textId="77777777" w:rsidR="00643D5F" w:rsidRPr="00643D5F" w:rsidRDefault="00643D5F" w:rsidP="00643D5F">
            <w:pPr>
              <w:widowControl/>
              <w:ind w:firstLine="3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43D5F">
              <w:rPr>
                <w:rFonts w:ascii="仿宋" w:eastAsia="仿宋" w:hAnsi="仿宋" w:cs="Calibri" w:hint="eastAsia"/>
                <w:color w:val="333333"/>
                <w:kern w:val="0"/>
                <w:sz w:val="18"/>
                <w:szCs w:val="18"/>
              </w:rPr>
              <w:t>8.无法全额享受政府补贴人员须相应核减安家费及购房补贴。</w:t>
            </w:r>
          </w:p>
        </w:tc>
      </w:tr>
    </w:tbl>
    <w:p w14:paraId="624F5723" w14:textId="77777777" w:rsidR="007C3D2C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color w:val="333333"/>
          <w:kern w:val="0"/>
          <w:sz w:val="32"/>
          <w:szCs w:val="32"/>
        </w:rPr>
      </w:pPr>
    </w:p>
    <w:p w14:paraId="2EE29F9A" w14:textId="748D0D97" w:rsidR="00643D5F" w:rsidRPr="007C3D2C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四</w:t>
      </w:r>
      <w:r w:rsidR="00643D5F" w:rsidRPr="007C3D2C"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、应聘方式</w:t>
      </w:r>
    </w:p>
    <w:p w14:paraId="4711B13C" w14:textId="3044FDE0" w:rsidR="00643D5F" w:rsidRPr="007C3D2C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登陆宁波工程学院人才招聘网（http://zp.nbut.edu.cn）， 注册并登陆，选择应聘岗位，填写个人基本信息，并上</w:t>
      </w:r>
      <w:proofErr w:type="gramStart"/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传个人</w:t>
      </w:r>
      <w:proofErr w:type="gramEnd"/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简历</w:t>
      </w:r>
      <w:r w:rsid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或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人才引进申报表（详见附件</w:t>
      </w:r>
      <w:r w:rsidR="00822F8D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2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）（包括个人基本信息、学习和工作经历、主要学术成果等）。</w:t>
      </w:r>
    </w:p>
    <w:p w14:paraId="0CC91FEB" w14:textId="14B7FEE7" w:rsidR="00643D5F" w:rsidRPr="007C3D2C" w:rsidRDefault="007C3D2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五</w:t>
      </w:r>
      <w:r w:rsidR="00643D5F" w:rsidRPr="007C3D2C"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、招聘方式</w:t>
      </w:r>
    </w:p>
    <w:p w14:paraId="042E3127" w14:textId="7B204DC7" w:rsidR="007C3D2C" w:rsidRPr="007C3D2C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不定期面试（试讲）。</w:t>
      </w:r>
    </w:p>
    <w:p w14:paraId="7478C45F" w14:textId="57698391" w:rsidR="00F15FCC" w:rsidRDefault="007C3D2C" w:rsidP="00F15FC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color w:val="333333"/>
          <w:kern w:val="0"/>
          <w:sz w:val="32"/>
          <w:szCs w:val="32"/>
        </w:rPr>
      </w:pPr>
      <w:r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六</w:t>
      </w:r>
      <w:r w:rsidR="00643D5F" w:rsidRPr="007C3D2C">
        <w:rPr>
          <w:rFonts w:ascii="黑体" w:eastAsia="黑体" w:hAnsi="黑体" w:cs="Calibri" w:hint="eastAsia"/>
          <w:bCs/>
          <w:color w:val="333333"/>
          <w:kern w:val="0"/>
          <w:sz w:val="32"/>
          <w:szCs w:val="32"/>
        </w:rPr>
        <w:t>、联系方式</w:t>
      </w:r>
    </w:p>
    <w:p w14:paraId="05E93C3A" w14:textId="28F70A05" w:rsidR="00F15FCC" w:rsidRPr="00F15FCC" w:rsidRDefault="00F15FCC" w:rsidP="00F15FCC">
      <w:pPr>
        <w:widowControl/>
        <w:shd w:val="clear" w:color="auto" w:fill="FFFFFF"/>
        <w:spacing w:line="520" w:lineRule="exact"/>
        <w:ind w:firstLine="420"/>
        <w:jc w:val="left"/>
        <w:rPr>
          <w:rFonts w:ascii="黑体" w:eastAsia="黑体" w:hAnsi="黑体" w:cs="Calibri"/>
          <w:bCs/>
          <w:color w:val="333333"/>
          <w:kern w:val="0"/>
          <w:sz w:val="32"/>
          <w:szCs w:val="32"/>
        </w:rPr>
      </w:pPr>
      <w:r w:rsidRPr="00F15FC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（一）</w:t>
      </w:r>
      <w:r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学院/研究院联系方式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1584"/>
        <w:gridCol w:w="2032"/>
        <w:gridCol w:w="3096"/>
      </w:tblGrid>
      <w:tr w:rsidR="007C3D2C" w14:paraId="417235A0" w14:textId="77777777" w:rsidTr="00045229">
        <w:tc>
          <w:tcPr>
            <w:tcW w:w="2122" w:type="dxa"/>
          </w:tcPr>
          <w:p w14:paraId="5A9CFB93" w14:textId="77580E70" w:rsidR="007C3D2C" w:rsidRPr="00045229" w:rsidRDefault="007C3D2C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/>
                <w:bCs/>
                <w:color w:val="333333"/>
                <w:kern w:val="0"/>
                <w:sz w:val="32"/>
                <w:szCs w:val="32"/>
              </w:rPr>
            </w:pPr>
            <w:r w:rsidRPr="00045229">
              <w:rPr>
                <w:rFonts w:ascii="仿宋_GB2312" w:eastAsia="仿宋_GB2312" w:hAnsi="黑体" w:cs="Calibri" w:hint="eastAsia"/>
                <w:b/>
                <w:bCs/>
                <w:color w:val="333333"/>
                <w:kern w:val="0"/>
                <w:sz w:val="32"/>
                <w:szCs w:val="32"/>
              </w:rPr>
              <w:t>学院</w:t>
            </w:r>
            <w:r w:rsidR="00045229" w:rsidRPr="00045229">
              <w:rPr>
                <w:rFonts w:ascii="仿宋_GB2312" w:eastAsia="仿宋_GB2312" w:hAnsi="黑体" w:cs="Calibri" w:hint="eastAsia"/>
                <w:b/>
                <w:bCs/>
                <w:color w:val="333333"/>
                <w:kern w:val="0"/>
                <w:sz w:val="32"/>
                <w:szCs w:val="32"/>
              </w:rPr>
              <w:t>/研究院</w:t>
            </w:r>
          </w:p>
        </w:tc>
        <w:tc>
          <w:tcPr>
            <w:tcW w:w="1584" w:type="dxa"/>
          </w:tcPr>
          <w:p w14:paraId="536C1962" w14:textId="4B3F2E24" w:rsidR="007C3D2C" w:rsidRPr="00045229" w:rsidRDefault="007C3D2C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/>
                <w:bCs/>
                <w:color w:val="333333"/>
                <w:kern w:val="0"/>
                <w:sz w:val="32"/>
                <w:szCs w:val="32"/>
              </w:rPr>
            </w:pPr>
            <w:r w:rsidRPr="00045229">
              <w:rPr>
                <w:rFonts w:ascii="仿宋_GB2312" w:eastAsia="仿宋_GB2312" w:hAnsi="黑体" w:cs="Calibri" w:hint="eastAsia"/>
                <w:b/>
                <w:bCs/>
                <w:color w:val="333333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32" w:type="dxa"/>
          </w:tcPr>
          <w:p w14:paraId="75169C6A" w14:textId="4C10C294" w:rsidR="007C3D2C" w:rsidRPr="00045229" w:rsidRDefault="007C3D2C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/>
                <w:bCs/>
                <w:color w:val="333333"/>
                <w:kern w:val="0"/>
                <w:sz w:val="32"/>
                <w:szCs w:val="32"/>
              </w:rPr>
            </w:pPr>
            <w:r w:rsidRPr="00045229">
              <w:rPr>
                <w:rFonts w:ascii="仿宋_GB2312" w:eastAsia="仿宋_GB2312" w:hAnsi="黑体" w:cs="Calibri" w:hint="eastAsia"/>
                <w:b/>
                <w:bCs/>
                <w:color w:val="333333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3096" w:type="dxa"/>
          </w:tcPr>
          <w:p w14:paraId="7F7B8A36" w14:textId="2FFD1C78" w:rsidR="007C3D2C" w:rsidRPr="00045229" w:rsidRDefault="007C3D2C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/>
                <w:bCs/>
                <w:color w:val="333333"/>
                <w:kern w:val="0"/>
                <w:sz w:val="32"/>
                <w:szCs w:val="32"/>
              </w:rPr>
            </w:pPr>
            <w:r w:rsidRPr="00045229">
              <w:rPr>
                <w:rFonts w:ascii="仿宋_GB2312" w:eastAsia="仿宋_GB2312" w:hAnsi="黑体" w:cs="Calibri" w:hint="eastAsia"/>
                <w:b/>
                <w:bCs/>
                <w:color w:val="333333"/>
                <w:kern w:val="0"/>
                <w:sz w:val="32"/>
                <w:szCs w:val="32"/>
              </w:rPr>
              <w:t>邮箱</w:t>
            </w:r>
          </w:p>
        </w:tc>
      </w:tr>
      <w:tr w:rsidR="00045229" w14:paraId="258FE907" w14:textId="77777777" w:rsidTr="00045229">
        <w:tc>
          <w:tcPr>
            <w:tcW w:w="2122" w:type="dxa"/>
            <w:vAlign w:val="center"/>
          </w:tcPr>
          <w:p w14:paraId="55800647" w14:textId="009E1A4B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电信学院</w:t>
            </w:r>
          </w:p>
        </w:tc>
        <w:tc>
          <w:tcPr>
            <w:tcW w:w="1584" w:type="dxa"/>
            <w:vAlign w:val="center"/>
          </w:tcPr>
          <w:p w14:paraId="2B7DB2C0" w14:textId="4C634F64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吴老师</w:t>
            </w:r>
          </w:p>
        </w:tc>
        <w:tc>
          <w:tcPr>
            <w:tcW w:w="2032" w:type="dxa"/>
            <w:vAlign w:val="center"/>
          </w:tcPr>
          <w:p w14:paraId="103F4B3E" w14:textId="18E98640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0574-87081230</w:t>
            </w:r>
          </w:p>
        </w:tc>
        <w:tc>
          <w:tcPr>
            <w:tcW w:w="3096" w:type="dxa"/>
            <w:vAlign w:val="center"/>
          </w:tcPr>
          <w:p w14:paraId="673634AE" w14:textId="51CFF8CD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045229" w:rsidRPr="006E26AF">
                <w:t>vison@nbut.edu.cn</w:t>
              </w:r>
            </w:hyperlink>
          </w:p>
        </w:tc>
      </w:tr>
      <w:tr w:rsidR="00045229" w14:paraId="24AFAC2E" w14:textId="77777777" w:rsidTr="00045229">
        <w:tc>
          <w:tcPr>
            <w:tcW w:w="2122" w:type="dxa"/>
            <w:vAlign w:val="center"/>
          </w:tcPr>
          <w:p w14:paraId="1CEB8803" w14:textId="3288A91D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建交学院</w:t>
            </w:r>
          </w:p>
        </w:tc>
        <w:tc>
          <w:tcPr>
            <w:tcW w:w="1584" w:type="dxa"/>
            <w:vAlign w:val="center"/>
          </w:tcPr>
          <w:p w14:paraId="12CDA619" w14:textId="3FCC92CE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郭老师</w:t>
            </w:r>
          </w:p>
        </w:tc>
        <w:tc>
          <w:tcPr>
            <w:tcW w:w="2032" w:type="dxa"/>
            <w:vAlign w:val="center"/>
          </w:tcPr>
          <w:p w14:paraId="7669B9BC" w14:textId="2628B770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0574-87615653</w:t>
            </w:r>
          </w:p>
        </w:tc>
        <w:tc>
          <w:tcPr>
            <w:tcW w:w="3096" w:type="dxa"/>
            <w:vAlign w:val="center"/>
          </w:tcPr>
          <w:p w14:paraId="51076B64" w14:textId="03120BEC" w:rsidR="00045229" w:rsidRPr="006E26AF" w:rsidRDefault="00045229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 w:rsidRPr="006E26AF">
              <w:rPr>
                <w:rFonts w:ascii="Times New Roman" w:hAnsi="Times New Roman" w:cs="Times New Roman"/>
              </w:rPr>
              <w:t>guohui73@nbut.edu.cn</w:t>
            </w:r>
          </w:p>
        </w:tc>
      </w:tr>
      <w:tr w:rsidR="00045229" w14:paraId="7ECF5D55" w14:textId="77777777" w:rsidTr="00045229">
        <w:tc>
          <w:tcPr>
            <w:tcW w:w="2122" w:type="dxa"/>
            <w:vAlign w:val="center"/>
          </w:tcPr>
          <w:p w14:paraId="026D13D1" w14:textId="6660141B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机械学院</w:t>
            </w:r>
          </w:p>
        </w:tc>
        <w:tc>
          <w:tcPr>
            <w:tcW w:w="1584" w:type="dxa"/>
            <w:vAlign w:val="center"/>
          </w:tcPr>
          <w:p w14:paraId="2D9DE7C2" w14:textId="0EF03292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丁老师</w:t>
            </w:r>
          </w:p>
        </w:tc>
        <w:tc>
          <w:tcPr>
            <w:tcW w:w="2032" w:type="dxa"/>
            <w:vAlign w:val="center"/>
          </w:tcPr>
          <w:p w14:paraId="1DD0C51D" w14:textId="2FD0BE97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0574-82351628</w:t>
            </w:r>
          </w:p>
        </w:tc>
        <w:tc>
          <w:tcPr>
            <w:tcW w:w="3096" w:type="dxa"/>
            <w:vAlign w:val="center"/>
          </w:tcPr>
          <w:p w14:paraId="6D26A686" w14:textId="762C7F7E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045229" w:rsidRPr="006E26AF">
                <w:t>dinghongwei_2010@163.com</w:t>
              </w:r>
            </w:hyperlink>
          </w:p>
        </w:tc>
      </w:tr>
      <w:tr w:rsidR="00045229" w14:paraId="3238B29E" w14:textId="77777777" w:rsidTr="00045229">
        <w:tc>
          <w:tcPr>
            <w:tcW w:w="2122" w:type="dxa"/>
            <w:vAlign w:val="center"/>
          </w:tcPr>
          <w:p w14:paraId="743C936A" w14:textId="24240068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proofErr w:type="gramStart"/>
            <w:r w:rsidRPr="00045229">
              <w:rPr>
                <w:rFonts w:ascii="仿宋_GB2312" w:eastAsia="仿宋_GB2312" w:hint="eastAsia"/>
                <w:sz w:val="24"/>
                <w:szCs w:val="24"/>
              </w:rPr>
              <w:t>材化学院</w:t>
            </w:r>
            <w:proofErr w:type="gramEnd"/>
          </w:p>
        </w:tc>
        <w:tc>
          <w:tcPr>
            <w:tcW w:w="1584" w:type="dxa"/>
            <w:vAlign w:val="center"/>
          </w:tcPr>
          <w:p w14:paraId="52F04E5B" w14:textId="14306489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金老师</w:t>
            </w:r>
          </w:p>
        </w:tc>
        <w:tc>
          <w:tcPr>
            <w:tcW w:w="2032" w:type="dxa"/>
            <w:vAlign w:val="center"/>
          </w:tcPr>
          <w:p w14:paraId="67FAD4D8" w14:textId="1F8D8B93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0574-87081240</w:t>
            </w:r>
          </w:p>
        </w:tc>
        <w:tc>
          <w:tcPr>
            <w:tcW w:w="3096" w:type="dxa"/>
            <w:vAlign w:val="center"/>
          </w:tcPr>
          <w:p w14:paraId="1CC44FDE" w14:textId="14305BE6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045229" w:rsidRPr="006E26AF">
                <w:t>jinyanling2008@qq.com</w:t>
              </w:r>
            </w:hyperlink>
          </w:p>
        </w:tc>
      </w:tr>
      <w:tr w:rsidR="00045229" w14:paraId="3130045A" w14:textId="77777777" w:rsidTr="00045229">
        <w:tc>
          <w:tcPr>
            <w:tcW w:w="2122" w:type="dxa"/>
            <w:vAlign w:val="center"/>
          </w:tcPr>
          <w:p w14:paraId="44292F5D" w14:textId="0269FF7B" w:rsidR="00045229" w:rsidRPr="00045229" w:rsidRDefault="004108A2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4108A2">
              <w:rPr>
                <w:rFonts w:ascii="仿宋_GB2312" w:eastAsia="仿宋_GB2312" w:hint="eastAsia"/>
                <w:sz w:val="24"/>
                <w:szCs w:val="24"/>
              </w:rPr>
              <w:t>统计与数据科学学院</w:t>
            </w:r>
          </w:p>
        </w:tc>
        <w:tc>
          <w:tcPr>
            <w:tcW w:w="1584" w:type="dxa"/>
            <w:vAlign w:val="center"/>
          </w:tcPr>
          <w:p w14:paraId="7B0AE610" w14:textId="6F2BE5E4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葛老师</w:t>
            </w:r>
          </w:p>
        </w:tc>
        <w:tc>
          <w:tcPr>
            <w:tcW w:w="2032" w:type="dxa"/>
            <w:vAlign w:val="center"/>
          </w:tcPr>
          <w:p w14:paraId="6C28E780" w14:textId="021F610E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0574-87617119</w:t>
            </w:r>
          </w:p>
        </w:tc>
        <w:tc>
          <w:tcPr>
            <w:tcW w:w="3096" w:type="dxa"/>
            <w:vAlign w:val="center"/>
          </w:tcPr>
          <w:p w14:paraId="784604B8" w14:textId="08DB0811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045229" w:rsidRPr="006E26AF">
                <w:t>ssds@nbut.edu.cn</w:t>
              </w:r>
            </w:hyperlink>
          </w:p>
        </w:tc>
      </w:tr>
      <w:tr w:rsidR="00045229" w14:paraId="5A66B9DA" w14:textId="77777777" w:rsidTr="00045229">
        <w:tc>
          <w:tcPr>
            <w:tcW w:w="2122" w:type="dxa"/>
            <w:vAlign w:val="center"/>
          </w:tcPr>
          <w:p w14:paraId="1A23ADC4" w14:textId="55D12D92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经管学院</w:t>
            </w:r>
          </w:p>
        </w:tc>
        <w:tc>
          <w:tcPr>
            <w:tcW w:w="1584" w:type="dxa"/>
            <w:vAlign w:val="center"/>
          </w:tcPr>
          <w:p w14:paraId="65CDED1A" w14:textId="54CE301E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许老师</w:t>
            </w:r>
          </w:p>
        </w:tc>
        <w:tc>
          <w:tcPr>
            <w:tcW w:w="2032" w:type="dxa"/>
            <w:vAlign w:val="center"/>
          </w:tcPr>
          <w:p w14:paraId="280DE16D" w14:textId="0518C3A5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0574-87616107</w:t>
            </w:r>
          </w:p>
        </w:tc>
        <w:tc>
          <w:tcPr>
            <w:tcW w:w="3096" w:type="dxa"/>
            <w:vAlign w:val="center"/>
          </w:tcPr>
          <w:p w14:paraId="378DEA6A" w14:textId="22165521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045229" w:rsidRPr="006E26AF">
                <w:t>xuch@nbut.edu.cn</w:t>
              </w:r>
            </w:hyperlink>
          </w:p>
        </w:tc>
      </w:tr>
      <w:tr w:rsidR="00045229" w14:paraId="03C9DB04" w14:textId="77777777" w:rsidTr="00045229">
        <w:tc>
          <w:tcPr>
            <w:tcW w:w="2122" w:type="dxa"/>
            <w:vAlign w:val="center"/>
          </w:tcPr>
          <w:p w14:paraId="31F4B5C4" w14:textId="4DCC91B4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外语学院</w:t>
            </w:r>
          </w:p>
        </w:tc>
        <w:tc>
          <w:tcPr>
            <w:tcW w:w="1584" w:type="dxa"/>
            <w:vAlign w:val="center"/>
          </w:tcPr>
          <w:p w14:paraId="13EDE451" w14:textId="3BFE8181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冯老师</w:t>
            </w:r>
          </w:p>
        </w:tc>
        <w:tc>
          <w:tcPr>
            <w:tcW w:w="2032" w:type="dxa"/>
            <w:vAlign w:val="center"/>
          </w:tcPr>
          <w:p w14:paraId="285CAF2D" w14:textId="2DBB06E9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0574-87616092</w:t>
            </w:r>
          </w:p>
        </w:tc>
        <w:tc>
          <w:tcPr>
            <w:tcW w:w="3096" w:type="dxa"/>
            <w:vAlign w:val="center"/>
          </w:tcPr>
          <w:p w14:paraId="06B90A39" w14:textId="7B04D256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045229" w:rsidRPr="006E26AF">
                <w:t>349701149@qq.com</w:t>
              </w:r>
            </w:hyperlink>
          </w:p>
        </w:tc>
      </w:tr>
      <w:tr w:rsidR="00045229" w14:paraId="054143E4" w14:textId="77777777" w:rsidTr="00045229">
        <w:tc>
          <w:tcPr>
            <w:tcW w:w="2122" w:type="dxa"/>
            <w:vAlign w:val="center"/>
          </w:tcPr>
          <w:p w14:paraId="452E386F" w14:textId="65811973" w:rsidR="00045229" w:rsidRPr="00045229" w:rsidRDefault="004108A2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人艺</w:t>
            </w:r>
            <w:r w:rsidR="00045229" w:rsidRPr="00045229">
              <w:rPr>
                <w:rFonts w:ascii="仿宋_GB2312" w:eastAsia="仿宋_GB2312" w:hint="eastAsia"/>
                <w:sz w:val="24"/>
                <w:szCs w:val="24"/>
              </w:rPr>
              <w:t>学院</w:t>
            </w:r>
          </w:p>
        </w:tc>
        <w:tc>
          <w:tcPr>
            <w:tcW w:w="1584" w:type="dxa"/>
            <w:vAlign w:val="center"/>
          </w:tcPr>
          <w:p w14:paraId="1937DB5C" w14:textId="1E410937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胡老师</w:t>
            </w:r>
          </w:p>
        </w:tc>
        <w:tc>
          <w:tcPr>
            <w:tcW w:w="2032" w:type="dxa"/>
            <w:vAlign w:val="center"/>
          </w:tcPr>
          <w:p w14:paraId="0EE71485" w14:textId="400B50E9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0574-87616085</w:t>
            </w:r>
          </w:p>
        </w:tc>
        <w:tc>
          <w:tcPr>
            <w:tcW w:w="3096" w:type="dxa"/>
            <w:vAlign w:val="center"/>
          </w:tcPr>
          <w:p w14:paraId="520AD95A" w14:textId="0D2BC188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045229" w:rsidRPr="006E26AF">
                <w:t>360904074@qq.com</w:t>
              </w:r>
            </w:hyperlink>
          </w:p>
        </w:tc>
      </w:tr>
      <w:tr w:rsidR="00045229" w14:paraId="609ACF6E" w14:textId="77777777" w:rsidTr="00045229">
        <w:tc>
          <w:tcPr>
            <w:tcW w:w="2122" w:type="dxa"/>
            <w:vAlign w:val="center"/>
          </w:tcPr>
          <w:p w14:paraId="33D62E69" w14:textId="62AC2B70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国交学院</w:t>
            </w:r>
          </w:p>
        </w:tc>
        <w:tc>
          <w:tcPr>
            <w:tcW w:w="1584" w:type="dxa"/>
            <w:vAlign w:val="center"/>
          </w:tcPr>
          <w:p w14:paraId="3ABF4EE8" w14:textId="6B2504F2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胡</w:t>
            </w:r>
            <w:r w:rsidR="0018302F">
              <w:rPr>
                <w:rFonts w:ascii="仿宋_GB2312" w:eastAsia="仿宋_GB2312" w:hint="eastAsia"/>
                <w:sz w:val="24"/>
                <w:szCs w:val="24"/>
              </w:rPr>
              <w:t>老师</w:t>
            </w:r>
          </w:p>
        </w:tc>
        <w:tc>
          <w:tcPr>
            <w:tcW w:w="2032" w:type="dxa"/>
            <w:vAlign w:val="center"/>
          </w:tcPr>
          <w:p w14:paraId="5842EF2D" w14:textId="277E8F1E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0574-87610257</w:t>
            </w:r>
          </w:p>
        </w:tc>
        <w:tc>
          <w:tcPr>
            <w:tcW w:w="3096" w:type="dxa"/>
            <w:vAlign w:val="center"/>
          </w:tcPr>
          <w:p w14:paraId="1ADE6379" w14:textId="6425D394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045229" w:rsidRPr="006E26AF">
                <w:t>huyinghui0109@126.com</w:t>
              </w:r>
            </w:hyperlink>
          </w:p>
        </w:tc>
      </w:tr>
      <w:tr w:rsidR="00045229" w14:paraId="6D393006" w14:textId="77777777" w:rsidTr="00045229">
        <w:tc>
          <w:tcPr>
            <w:tcW w:w="2122" w:type="dxa"/>
            <w:vAlign w:val="center"/>
          </w:tcPr>
          <w:p w14:paraId="2E148AD3" w14:textId="1A32B378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lastRenderedPageBreak/>
              <w:t>机器人学院</w:t>
            </w:r>
          </w:p>
        </w:tc>
        <w:tc>
          <w:tcPr>
            <w:tcW w:w="1584" w:type="dxa"/>
            <w:vAlign w:val="center"/>
          </w:tcPr>
          <w:p w14:paraId="651E8EA7" w14:textId="261BBD90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proofErr w:type="gramStart"/>
            <w:r w:rsidRPr="00045229">
              <w:rPr>
                <w:rFonts w:ascii="仿宋_GB2312" w:eastAsia="仿宋_GB2312" w:hint="eastAsia"/>
                <w:sz w:val="24"/>
                <w:szCs w:val="24"/>
              </w:rPr>
              <w:t>肇</w:t>
            </w:r>
            <w:proofErr w:type="gramEnd"/>
            <w:r w:rsidRPr="00045229">
              <w:rPr>
                <w:rFonts w:ascii="仿宋_GB2312" w:eastAsia="仿宋_GB2312" w:hint="eastAsia"/>
                <w:sz w:val="24"/>
                <w:szCs w:val="24"/>
              </w:rPr>
              <w:t>老师</w:t>
            </w:r>
          </w:p>
        </w:tc>
        <w:tc>
          <w:tcPr>
            <w:tcW w:w="2032" w:type="dxa"/>
            <w:vAlign w:val="center"/>
          </w:tcPr>
          <w:p w14:paraId="605379E1" w14:textId="11441548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0574-87615685</w:t>
            </w:r>
          </w:p>
        </w:tc>
        <w:tc>
          <w:tcPr>
            <w:tcW w:w="3096" w:type="dxa"/>
            <w:vAlign w:val="center"/>
          </w:tcPr>
          <w:p w14:paraId="7D778513" w14:textId="7BF12812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045229" w:rsidRPr="006E26AF">
                <w:t>32408688@qq.com</w:t>
              </w:r>
            </w:hyperlink>
          </w:p>
        </w:tc>
      </w:tr>
      <w:tr w:rsidR="00045229" w14:paraId="04519225" w14:textId="77777777" w:rsidTr="00045229">
        <w:tc>
          <w:tcPr>
            <w:tcW w:w="2122" w:type="dxa"/>
            <w:vAlign w:val="center"/>
          </w:tcPr>
          <w:p w14:paraId="7C48BB6E" w14:textId="6D9B2E3A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proofErr w:type="gramStart"/>
            <w:r w:rsidRPr="00045229">
              <w:rPr>
                <w:rFonts w:ascii="仿宋_GB2312" w:eastAsia="仿宋_GB2312" w:hint="eastAsia"/>
                <w:sz w:val="24"/>
                <w:szCs w:val="24"/>
              </w:rPr>
              <w:t>网安学院</w:t>
            </w:r>
            <w:proofErr w:type="gramEnd"/>
          </w:p>
        </w:tc>
        <w:tc>
          <w:tcPr>
            <w:tcW w:w="1584" w:type="dxa"/>
            <w:vAlign w:val="center"/>
          </w:tcPr>
          <w:p w14:paraId="0D4B6120" w14:textId="7549524A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邬老师</w:t>
            </w:r>
          </w:p>
        </w:tc>
        <w:tc>
          <w:tcPr>
            <w:tcW w:w="2032" w:type="dxa"/>
            <w:vAlign w:val="center"/>
          </w:tcPr>
          <w:p w14:paraId="1FD9CD56" w14:textId="18E6DE64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0574-87610722</w:t>
            </w:r>
          </w:p>
        </w:tc>
        <w:tc>
          <w:tcPr>
            <w:tcW w:w="3096" w:type="dxa"/>
            <w:vAlign w:val="center"/>
          </w:tcPr>
          <w:p w14:paraId="01A72560" w14:textId="6BEE5F64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5" w:tooltip="mailto:fengyuwu@nbut.edu.cn" w:history="1">
              <w:r w:rsidR="00045229" w:rsidRPr="006E26AF">
                <w:t>fengyuwu@nbut.edu.cn</w:t>
              </w:r>
            </w:hyperlink>
          </w:p>
        </w:tc>
      </w:tr>
      <w:tr w:rsidR="00045229" w14:paraId="4371510E" w14:textId="77777777" w:rsidTr="00045229">
        <w:tc>
          <w:tcPr>
            <w:tcW w:w="2122" w:type="dxa"/>
            <w:vAlign w:val="center"/>
          </w:tcPr>
          <w:p w14:paraId="486046BF" w14:textId="32CE80F5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新能源学院</w:t>
            </w:r>
          </w:p>
        </w:tc>
        <w:tc>
          <w:tcPr>
            <w:tcW w:w="1584" w:type="dxa"/>
            <w:vAlign w:val="center"/>
          </w:tcPr>
          <w:p w14:paraId="3086E04B" w14:textId="3735F3C6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屠老师</w:t>
            </w:r>
          </w:p>
        </w:tc>
        <w:tc>
          <w:tcPr>
            <w:tcW w:w="2032" w:type="dxa"/>
            <w:vAlign w:val="center"/>
          </w:tcPr>
          <w:p w14:paraId="41575BBD" w14:textId="2BD5B252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0574-82351658</w:t>
            </w:r>
          </w:p>
        </w:tc>
        <w:tc>
          <w:tcPr>
            <w:tcW w:w="3096" w:type="dxa"/>
            <w:vAlign w:val="center"/>
          </w:tcPr>
          <w:p w14:paraId="4F6727DE" w14:textId="4026C0E4" w:rsidR="00045229" w:rsidRPr="006E26AF" w:rsidRDefault="00045229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 w:rsidRPr="006E26AF">
              <w:rPr>
                <w:rFonts w:ascii="Times New Roman" w:hAnsi="Times New Roman" w:cs="Times New Roman"/>
              </w:rPr>
              <w:t>xnyxy@nbut.edu.cn</w:t>
            </w:r>
          </w:p>
        </w:tc>
      </w:tr>
      <w:tr w:rsidR="00045229" w14:paraId="1C100310" w14:textId="77777777" w:rsidTr="00045229">
        <w:tc>
          <w:tcPr>
            <w:tcW w:w="2122" w:type="dxa"/>
            <w:vAlign w:val="center"/>
          </w:tcPr>
          <w:p w14:paraId="6D3F6505" w14:textId="29C2C126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马克思主义学院</w:t>
            </w:r>
          </w:p>
        </w:tc>
        <w:tc>
          <w:tcPr>
            <w:tcW w:w="1584" w:type="dxa"/>
            <w:vAlign w:val="center"/>
          </w:tcPr>
          <w:p w14:paraId="34134FFA" w14:textId="2F788BDF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刘老师</w:t>
            </w:r>
          </w:p>
        </w:tc>
        <w:tc>
          <w:tcPr>
            <w:tcW w:w="2032" w:type="dxa"/>
            <w:vAlign w:val="center"/>
          </w:tcPr>
          <w:p w14:paraId="63EFF7AB" w14:textId="3E9AC546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0574-87610167</w:t>
            </w:r>
          </w:p>
        </w:tc>
        <w:tc>
          <w:tcPr>
            <w:tcW w:w="3096" w:type="dxa"/>
            <w:vAlign w:val="center"/>
          </w:tcPr>
          <w:p w14:paraId="07FD50C3" w14:textId="528EF169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045229" w:rsidRPr="006E26AF">
                <w:t>1258617200@qq.com</w:t>
              </w:r>
            </w:hyperlink>
          </w:p>
        </w:tc>
      </w:tr>
      <w:tr w:rsidR="00045229" w14:paraId="19758D93" w14:textId="77777777" w:rsidTr="00045229">
        <w:tc>
          <w:tcPr>
            <w:tcW w:w="2122" w:type="dxa"/>
            <w:vAlign w:val="center"/>
          </w:tcPr>
          <w:p w14:paraId="2D523576" w14:textId="50D020F6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proofErr w:type="gramStart"/>
            <w:r w:rsidRPr="00045229">
              <w:rPr>
                <w:rFonts w:ascii="仿宋_GB2312" w:eastAsia="仿宋_GB2312" w:hint="eastAsia"/>
                <w:sz w:val="24"/>
                <w:szCs w:val="24"/>
              </w:rPr>
              <w:t>微纳研究院</w:t>
            </w:r>
            <w:proofErr w:type="gramEnd"/>
          </w:p>
        </w:tc>
        <w:tc>
          <w:tcPr>
            <w:tcW w:w="1584" w:type="dxa"/>
            <w:vAlign w:val="center"/>
          </w:tcPr>
          <w:p w14:paraId="45D9AFA2" w14:textId="5B8D52B6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郑老师</w:t>
            </w:r>
          </w:p>
        </w:tc>
        <w:tc>
          <w:tcPr>
            <w:tcW w:w="2032" w:type="dxa"/>
            <w:vAlign w:val="center"/>
          </w:tcPr>
          <w:p w14:paraId="4B33A36E" w14:textId="178E6E6B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  <w:t>15268392006</w:t>
            </w:r>
          </w:p>
        </w:tc>
        <w:tc>
          <w:tcPr>
            <w:tcW w:w="3096" w:type="dxa"/>
            <w:vAlign w:val="center"/>
          </w:tcPr>
          <w:p w14:paraId="17119B0A" w14:textId="523A550C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045229" w:rsidRPr="006E26AF">
                <w:t>zhengzhao2007@163.com</w:t>
              </w:r>
            </w:hyperlink>
          </w:p>
        </w:tc>
      </w:tr>
      <w:tr w:rsidR="00045229" w14:paraId="0AD7F59E" w14:textId="77777777" w:rsidTr="00045229">
        <w:tc>
          <w:tcPr>
            <w:tcW w:w="2122" w:type="dxa"/>
            <w:vAlign w:val="center"/>
          </w:tcPr>
          <w:p w14:paraId="4DC50A0E" w14:textId="22DD8B79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中国—中东欧国家创新合作研究中心</w:t>
            </w:r>
          </w:p>
        </w:tc>
        <w:tc>
          <w:tcPr>
            <w:tcW w:w="1584" w:type="dxa"/>
            <w:vAlign w:val="center"/>
          </w:tcPr>
          <w:p w14:paraId="1B1FAA22" w14:textId="283C59D4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裘老师</w:t>
            </w:r>
          </w:p>
        </w:tc>
        <w:tc>
          <w:tcPr>
            <w:tcW w:w="2032" w:type="dxa"/>
            <w:vAlign w:val="center"/>
          </w:tcPr>
          <w:p w14:paraId="28CE952C" w14:textId="2E4EEEB0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0574-87615002</w:t>
            </w:r>
          </w:p>
        </w:tc>
        <w:tc>
          <w:tcPr>
            <w:tcW w:w="3096" w:type="dxa"/>
            <w:vAlign w:val="center"/>
          </w:tcPr>
          <w:p w14:paraId="183D8304" w14:textId="25279328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045229" w:rsidRPr="006E26AF">
                <w:t>comprehensive@CCEEC.TECH</w:t>
              </w:r>
            </w:hyperlink>
          </w:p>
        </w:tc>
      </w:tr>
      <w:tr w:rsidR="00045229" w14:paraId="0AA66E44" w14:textId="77777777" w:rsidTr="00045229">
        <w:tc>
          <w:tcPr>
            <w:tcW w:w="2122" w:type="dxa"/>
            <w:vAlign w:val="center"/>
          </w:tcPr>
          <w:p w14:paraId="19F6549D" w14:textId="7A45285D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智能科学交叉研究院</w:t>
            </w:r>
          </w:p>
        </w:tc>
        <w:tc>
          <w:tcPr>
            <w:tcW w:w="1584" w:type="dxa"/>
            <w:vAlign w:val="center"/>
          </w:tcPr>
          <w:p w14:paraId="1A18D6F1" w14:textId="4A2A78E3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戚老师</w:t>
            </w:r>
          </w:p>
        </w:tc>
        <w:tc>
          <w:tcPr>
            <w:tcW w:w="2032" w:type="dxa"/>
            <w:vAlign w:val="center"/>
          </w:tcPr>
          <w:p w14:paraId="45FA8F1A" w14:textId="5A6C751B" w:rsidR="00045229" w:rsidRPr="00045229" w:rsidRDefault="00045229" w:rsidP="00045229">
            <w:pPr>
              <w:widowControl/>
              <w:spacing w:line="520" w:lineRule="exact"/>
              <w:jc w:val="center"/>
              <w:rPr>
                <w:rFonts w:ascii="仿宋_GB2312" w:eastAsia="仿宋_GB2312" w:hAnsi="黑体" w:cs="Calibri"/>
                <w:bCs/>
                <w:color w:val="333333"/>
                <w:kern w:val="0"/>
                <w:sz w:val="24"/>
                <w:szCs w:val="24"/>
              </w:rPr>
            </w:pPr>
            <w:r w:rsidRPr="00045229">
              <w:rPr>
                <w:rFonts w:ascii="仿宋_GB2312" w:eastAsia="仿宋_GB2312" w:hint="eastAsia"/>
                <w:sz w:val="24"/>
                <w:szCs w:val="24"/>
              </w:rPr>
              <w:t>0574-87616017</w:t>
            </w:r>
          </w:p>
        </w:tc>
        <w:tc>
          <w:tcPr>
            <w:tcW w:w="3096" w:type="dxa"/>
            <w:vAlign w:val="center"/>
          </w:tcPr>
          <w:p w14:paraId="3850B116" w14:textId="0DD56215" w:rsidR="00045229" w:rsidRPr="006E26AF" w:rsidRDefault="00312B01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045229" w:rsidRPr="006E26AF">
                <w:t>qichenlei@nbut.edu.cn</w:t>
              </w:r>
            </w:hyperlink>
          </w:p>
        </w:tc>
      </w:tr>
      <w:tr w:rsidR="004075C2" w14:paraId="365C4FE5" w14:textId="77777777" w:rsidTr="00045229">
        <w:tc>
          <w:tcPr>
            <w:tcW w:w="2122" w:type="dxa"/>
            <w:vAlign w:val="center"/>
          </w:tcPr>
          <w:p w14:paraId="65838801" w14:textId="4997A74E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075C2">
              <w:rPr>
                <w:rFonts w:ascii="仿宋_GB2312" w:eastAsia="仿宋_GB2312" w:hint="eastAsia"/>
                <w:sz w:val="24"/>
                <w:szCs w:val="24"/>
              </w:rPr>
              <w:t>区域发展与共同富裕研究院</w:t>
            </w:r>
          </w:p>
        </w:tc>
        <w:tc>
          <w:tcPr>
            <w:tcW w:w="1584" w:type="dxa"/>
            <w:vAlign w:val="center"/>
          </w:tcPr>
          <w:p w14:paraId="02056FB3" w14:textId="6EDDEAB0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许老师</w:t>
            </w:r>
          </w:p>
        </w:tc>
        <w:tc>
          <w:tcPr>
            <w:tcW w:w="2032" w:type="dxa"/>
            <w:vAlign w:val="center"/>
          </w:tcPr>
          <w:p w14:paraId="259AD7A2" w14:textId="0BF046E3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075C2">
              <w:rPr>
                <w:rFonts w:ascii="仿宋_GB2312" w:eastAsia="仿宋_GB2312"/>
                <w:sz w:val="24"/>
                <w:szCs w:val="24"/>
              </w:rPr>
              <w:t>0574-87616107</w:t>
            </w:r>
          </w:p>
        </w:tc>
        <w:tc>
          <w:tcPr>
            <w:tcW w:w="3096" w:type="dxa"/>
            <w:vAlign w:val="center"/>
          </w:tcPr>
          <w:p w14:paraId="404F1EC5" w14:textId="22A77BA3" w:rsidR="004075C2" w:rsidRPr="00574697" w:rsidRDefault="004075C2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 w:rsidRPr="00574697">
              <w:rPr>
                <w:rFonts w:ascii="Times New Roman" w:hAnsi="Times New Roman" w:cs="Times New Roman"/>
              </w:rPr>
              <w:t>xuch@nbut.edu.cn</w:t>
            </w:r>
          </w:p>
        </w:tc>
      </w:tr>
      <w:tr w:rsidR="004075C2" w14:paraId="205D2D31" w14:textId="77777777" w:rsidTr="00045229">
        <w:tc>
          <w:tcPr>
            <w:tcW w:w="2122" w:type="dxa"/>
            <w:vAlign w:val="center"/>
          </w:tcPr>
          <w:p w14:paraId="0E71E65A" w14:textId="2E687354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075C2">
              <w:rPr>
                <w:rFonts w:ascii="仿宋_GB2312" w:eastAsia="仿宋_GB2312" w:hint="eastAsia"/>
                <w:sz w:val="24"/>
                <w:szCs w:val="24"/>
              </w:rPr>
              <w:t>宁波工程学院-吉利汽车研究院联合招聘岗</w:t>
            </w:r>
          </w:p>
        </w:tc>
        <w:tc>
          <w:tcPr>
            <w:tcW w:w="1584" w:type="dxa"/>
            <w:vAlign w:val="center"/>
          </w:tcPr>
          <w:p w14:paraId="429EBC39" w14:textId="3EC182B2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075C2">
              <w:rPr>
                <w:rFonts w:ascii="仿宋_GB2312" w:eastAsia="仿宋_GB2312" w:hint="eastAsia"/>
                <w:sz w:val="24"/>
                <w:szCs w:val="24"/>
              </w:rPr>
              <w:t>丁老师</w:t>
            </w:r>
          </w:p>
        </w:tc>
        <w:tc>
          <w:tcPr>
            <w:tcW w:w="2032" w:type="dxa"/>
            <w:vAlign w:val="center"/>
          </w:tcPr>
          <w:p w14:paraId="5EA7B304" w14:textId="52D1DB6B" w:rsidR="004075C2" w:rsidRPr="00045229" w:rsidRDefault="004075C2" w:rsidP="00045229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075C2">
              <w:rPr>
                <w:rFonts w:ascii="仿宋_GB2312" w:eastAsia="仿宋_GB2312"/>
                <w:sz w:val="24"/>
                <w:szCs w:val="24"/>
              </w:rPr>
              <w:t>0574-82351628</w:t>
            </w:r>
          </w:p>
        </w:tc>
        <w:tc>
          <w:tcPr>
            <w:tcW w:w="3096" w:type="dxa"/>
            <w:vAlign w:val="center"/>
          </w:tcPr>
          <w:p w14:paraId="628B9843" w14:textId="3AC516D6" w:rsidR="004075C2" w:rsidRPr="00574697" w:rsidRDefault="004075C2" w:rsidP="00045229">
            <w:pPr>
              <w:widowControl/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 w:rsidRPr="00574697">
              <w:rPr>
                <w:rFonts w:ascii="Times New Roman" w:hAnsi="Times New Roman" w:cs="Times New Roman"/>
              </w:rPr>
              <w:t>dinghongwei_2010@163.com</w:t>
            </w:r>
          </w:p>
        </w:tc>
      </w:tr>
    </w:tbl>
    <w:p w14:paraId="49E4FD5A" w14:textId="557EB424" w:rsidR="007C3D2C" w:rsidRPr="00F15FCC" w:rsidRDefault="00F15FCC" w:rsidP="007C3D2C">
      <w:pPr>
        <w:widowControl/>
        <w:shd w:val="clear" w:color="auto" w:fill="FFFFFF"/>
        <w:spacing w:line="520" w:lineRule="exact"/>
        <w:ind w:firstLine="420"/>
        <w:jc w:val="lef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F15FC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（二）人事处联系方式</w:t>
      </w:r>
    </w:p>
    <w:p w14:paraId="311A960A" w14:textId="0F75261D" w:rsidR="00477CE6" w:rsidRDefault="00F15FCC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联系人</w:t>
      </w:r>
      <w:r w:rsidR="00477CE6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：</w:t>
      </w:r>
      <w:r w:rsidR="00643D5F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罗老师</w:t>
      </w:r>
      <w:r w:rsidR="001F3B96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、陈老师</w:t>
      </w:r>
    </w:p>
    <w:p w14:paraId="356385DF" w14:textId="1C43DB36" w:rsidR="007C3D2C" w:rsidRDefault="00477CE6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联系电话</w:t>
      </w:r>
      <w:r w:rsidR="00643D5F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：0574-87616030；</w:t>
      </w:r>
    </w:p>
    <w:p w14:paraId="414B8E02" w14:textId="723D74B1" w:rsidR="00643D5F" w:rsidRPr="007C3D2C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电子邮箱：</w:t>
      </w:r>
      <w:bookmarkStart w:id="0" w:name="_GoBack"/>
      <w:r w:rsidR="00312B01" w:rsidRPr="0018607D">
        <w:rPr>
          <w:rFonts w:ascii="Times New Roman" w:hAnsi="Times New Roman" w:cs="Times New Roman"/>
        </w:rPr>
        <w:fldChar w:fldCharType="begin"/>
      </w:r>
      <w:r w:rsidR="00312B01" w:rsidRPr="0018607D">
        <w:rPr>
          <w:rFonts w:ascii="Times New Roman" w:hAnsi="Times New Roman" w:cs="Times New Roman"/>
        </w:rPr>
        <w:instrText xml:space="preserve"> HYPERLINK "mailto:rsc@nbut.edu.cn" </w:instrText>
      </w:r>
      <w:r w:rsidR="00312B01" w:rsidRPr="0018607D">
        <w:rPr>
          <w:rFonts w:ascii="Times New Roman" w:hAnsi="Times New Roman" w:cs="Times New Roman"/>
        </w:rPr>
        <w:fldChar w:fldCharType="separate"/>
      </w:r>
      <w:r w:rsidR="007C3D2C" w:rsidRPr="0018607D">
        <w:t>rsc@nbut.edu.cn</w:t>
      </w:r>
      <w:r w:rsidR="00312B01" w:rsidRPr="0018607D">
        <w:fldChar w:fldCharType="end"/>
      </w:r>
      <w:bookmarkEnd w:id="0"/>
      <w:r w:rsidR="007C3D2C" w:rsidRPr="00E03D69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；</w:t>
      </w:r>
    </w:p>
    <w:p w14:paraId="0A93CC87" w14:textId="77777777" w:rsidR="00643D5F" w:rsidRPr="007C3D2C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通讯地址：宁波市江北区风华路201号，宁波工程学院行政楼人事处</w:t>
      </w:r>
      <w:r w:rsidR="001F3B96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324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室。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 </w:t>
      </w:r>
    </w:p>
    <w:p w14:paraId="6C62ED9E" w14:textId="1D9D0639" w:rsidR="00643D5F" w:rsidRPr="007C3D2C" w:rsidRDefault="00643D5F" w:rsidP="007C3D2C">
      <w:pPr>
        <w:widowControl/>
        <w:shd w:val="clear" w:color="auto" w:fill="FFFFFF"/>
        <w:spacing w:line="520" w:lineRule="exact"/>
        <w:ind w:firstLine="420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</w:p>
    <w:p w14:paraId="2A42C9C0" w14:textId="77777777" w:rsidR="00643D5F" w:rsidRPr="007C3D2C" w:rsidRDefault="00643D5F" w:rsidP="007C3D2C">
      <w:pPr>
        <w:widowControl/>
        <w:shd w:val="clear" w:color="auto" w:fill="FFFFFF"/>
        <w:spacing w:line="520" w:lineRule="exact"/>
        <w:ind w:firstLine="420"/>
        <w:jc w:val="righ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宁波工程学院人事处</w:t>
      </w:r>
    </w:p>
    <w:p w14:paraId="17586D12" w14:textId="395BD1CB" w:rsidR="00CB24C4" w:rsidRPr="00403017" w:rsidRDefault="00643D5F" w:rsidP="00403017">
      <w:pPr>
        <w:widowControl/>
        <w:shd w:val="clear" w:color="auto" w:fill="FFFFFF"/>
        <w:spacing w:line="520" w:lineRule="exact"/>
        <w:ind w:firstLine="420"/>
        <w:jc w:val="right"/>
        <w:rPr>
          <w:rFonts w:ascii="仿宋_GB2312" w:eastAsia="仿宋_GB2312" w:hAnsi="宋体" w:cs="Calibri"/>
          <w:color w:val="333333"/>
          <w:kern w:val="0"/>
          <w:sz w:val="32"/>
          <w:szCs w:val="32"/>
        </w:rPr>
      </w:pP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202</w:t>
      </w:r>
      <w:r w:rsidR="007C3D2C">
        <w:rPr>
          <w:rFonts w:ascii="仿宋_GB2312" w:eastAsia="仿宋_GB2312" w:hAnsi="宋体" w:cs="Calibri"/>
          <w:color w:val="333333"/>
          <w:kern w:val="0"/>
          <w:sz w:val="32"/>
          <w:szCs w:val="32"/>
        </w:rPr>
        <w:t>4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年</w:t>
      </w:r>
      <w:r w:rsidR="00603C77"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01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月</w:t>
      </w:r>
      <w:r w:rsidR="00594FDE">
        <w:rPr>
          <w:rFonts w:ascii="仿宋_GB2312" w:eastAsia="仿宋_GB2312" w:hAnsi="宋体" w:cs="Calibri"/>
          <w:color w:val="333333"/>
          <w:kern w:val="0"/>
          <w:sz w:val="32"/>
          <w:szCs w:val="32"/>
        </w:rPr>
        <w:t>15</w:t>
      </w:r>
      <w:r w:rsidRPr="007C3D2C">
        <w:rPr>
          <w:rFonts w:ascii="仿宋_GB2312" w:eastAsia="仿宋_GB2312" w:hAnsi="宋体" w:cs="Calibri" w:hint="eastAsia"/>
          <w:color w:val="333333"/>
          <w:kern w:val="0"/>
          <w:sz w:val="32"/>
          <w:szCs w:val="32"/>
        </w:rPr>
        <w:t>日</w:t>
      </w:r>
    </w:p>
    <w:sectPr w:rsidR="00CB24C4" w:rsidRPr="00403017" w:rsidSect="007C3D2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A03B7" w14:textId="77777777" w:rsidR="00312B01" w:rsidRDefault="00312B01" w:rsidP="003A77AA">
      <w:r>
        <w:separator/>
      </w:r>
    </w:p>
  </w:endnote>
  <w:endnote w:type="continuationSeparator" w:id="0">
    <w:p w14:paraId="6F08CCB8" w14:textId="77777777" w:rsidR="00312B01" w:rsidRDefault="00312B01" w:rsidP="003A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5A5AF" w14:textId="77777777" w:rsidR="00312B01" w:rsidRDefault="00312B01" w:rsidP="003A77AA">
      <w:r>
        <w:separator/>
      </w:r>
    </w:p>
  </w:footnote>
  <w:footnote w:type="continuationSeparator" w:id="0">
    <w:p w14:paraId="6B374E67" w14:textId="77777777" w:rsidR="00312B01" w:rsidRDefault="00312B01" w:rsidP="003A7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5F"/>
    <w:rsid w:val="00045229"/>
    <w:rsid w:val="0017314B"/>
    <w:rsid w:val="0018302F"/>
    <w:rsid w:val="0018607D"/>
    <w:rsid w:val="0019625D"/>
    <w:rsid w:val="001A1627"/>
    <w:rsid w:val="001F3B96"/>
    <w:rsid w:val="00224A9F"/>
    <w:rsid w:val="00254ADA"/>
    <w:rsid w:val="00312B01"/>
    <w:rsid w:val="0034392B"/>
    <w:rsid w:val="0037672D"/>
    <w:rsid w:val="003A77AA"/>
    <w:rsid w:val="003B5654"/>
    <w:rsid w:val="00403017"/>
    <w:rsid w:val="004075C2"/>
    <w:rsid w:val="004108A2"/>
    <w:rsid w:val="0045514C"/>
    <w:rsid w:val="00467921"/>
    <w:rsid w:val="00477CE6"/>
    <w:rsid w:val="004F68B8"/>
    <w:rsid w:val="005311A3"/>
    <w:rsid w:val="00574697"/>
    <w:rsid w:val="00594FDE"/>
    <w:rsid w:val="00603C77"/>
    <w:rsid w:val="00643D5F"/>
    <w:rsid w:val="00650009"/>
    <w:rsid w:val="0066067B"/>
    <w:rsid w:val="006B2D05"/>
    <w:rsid w:val="006E26AF"/>
    <w:rsid w:val="007C3D2C"/>
    <w:rsid w:val="00822F8D"/>
    <w:rsid w:val="00835823"/>
    <w:rsid w:val="00863262"/>
    <w:rsid w:val="0086545F"/>
    <w:rsid w:val="0088356E"/>
    <w:rsid w:val="008F11EC"/>
    <w:rsid w:val="009131B5"/>
    <w:rsid w:val="00942840"/>
    <w:rsid w:val="00995C80"/>
    <w:rsid w:val="009D783B"/>
    <w:rsid w:val="009E7E75"/>
    <w:rsid w:val="00B479B0"/>
    <w:rsid w:val="00BC4FE5"/>
    <w:rsid w:val="00BE10A8"/>
    <w:rsid w:val="00C522CC"/>
    <w:rsid w:val="00C770B7"/>
    <w:rsid w:val="00CB24C4"/>
    <w:rsid w:val="00CE0291"/>
    <w:rsid w:val="00D056F0"/>
    <w:rsid w:val="00D5171A"/>
    <w:rsid w:val="00DA076B"/>
    <w:rsid w:val="00E03D69"/>
    <w:rsid w:val="00E478E3"/>
    <w:rsid w:val="00F03312"/>
    <w:rsid w:val="00F15FCC"/>
    <w:rsid w:val="00F54F51"/>
    <w:rsid w:val="00F90E5E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00E20"/>
  <w15:chartTrackingRefBased/>
  <w15:docId w15:val="{51DA29F3-1B14-497E-B916-519679D1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43D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43D5F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643D5F"/>
    <w:rPr>
      <w:b/>
      <w:bCs/>
    </w:rPr>
  </w:style>
  <w:style w:type="character" w:styleId="a4">
    <w:name w:val="Hyperlink"/>
    <w:basedOn w:val="a0"/>
    <w:uiPriority w:val="99"/>
    <w:unhideWhenUsed/>
    <w:rsid w:val="00643D5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A7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A77A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A7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A77AA"/>
    <w:rPr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7C3D2C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7C3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yanling2008@qq.com" TargetMode="External"/><Relationship Id="rId13" Type="http://schemas.openxmlformats.org/officeDocument/2006/relationships/hyperlink" Target="mailto:huyinghui0109@126.com" TargetMode="External"/><Relationship Id="rId18" Type="http://schemas.openxmlformats.org/officeDocument/2006/relationships/hyperlink" Target="mailto:comprehensive@CCEEC.TECH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dinghongwei_2010@163.com" TargetMode="External"/><Relationship Id="rId12" Type="http://schemas.openxmlformats.org/officeDocument/2006/relationships/hyperlink" Target="mailto:360904074@qq.com" TargetMode="External"/><Relationship Id="rId17" Type="http://schemas.openxmlformats.org/officeDocument/2006/relationships/hyperlink" Target="mailto:zhengzhao2007@163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1258617200@qq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vison@nbut.edu.cn" TargetMode="External"/><Relationship Id="rId11" Type="http://schemas.openxmlformats.org/officeDocument/2006/relationships/hyperlink" Target="mailto:349701149@qq.com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fengyuwu@nbut.edu.cn" TargetMode="External"/><Relationship Id="rId10" Type="http://schemas.openxmlformats.org/officeDocument/2006/relationships/hyperlink" Target="mailto:xuch@nbut.edu.cn" TargetMode="External"/><Relationship Id="rId19" Type="http://schemas.openxmlformats.org/officeDocument/2006/relationships/hyperlink" Target="mailto:qichenlei@nbut.edu.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sds@nbut.edu.cn" TargetMode="External"/><Relationship Id="rId14" Type="http://schemas.openxmlformats.org/officeDocument/2006/relationships/hyperlink" Target="mailto:32408688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19</cp:revision>
  <dcterms:created xsi:type="dcterms:W3CDTF">2024-01-02T08:00:00Z</dcterms:created>
  <dcterms:modified xsi:type="dcterms:W3CDTF">2024-03-05T02:31:00Z</dcterms:modified>
</cp:coreProperties>
</file>