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textAlignment w:val="baseline"/>
        <w:rPr>
          <w:rFonts w:ascii="Helvetica" w:hAnsi="Helvetica" w:eastAsia="Helvetica" w:cs="Helvetica"/>
          <w:i w:val="0"/>
          <w:iCs w:val="0"/>
          <w:caps w:val="0"/>
          <w:spacing w:val="0"/>
          <w:sz w:val="21"/>
          <w:szCs w:val="21"/>
        </w:rPr>
      </w:pPr>
      <w:r>
        <w:rPr>
          <w:rFonts w:ascii="方正小标宋简体" w:hAnsi="方正小标宋简体" w:eastAsia="方正小标宋简体" w:cs="方正小标宋简体"/>
          <w:i w:val="0"/>
          <w:iCs w:val="0"/>
          <w:caps w:val="0"/>
          <w:spacing w:val="0"/>
          <w:kern w:val="0"/>
          <w:sz w:val="44"/>
          <w:szCs w:val="44"/>
          <w:vertAlign w:val="baseline"/>
          <w:lang w:val="en-US" w:eastAsia="zh-CN" w:bidi="ar"/>
        </w:rPr>
        <w:t>茅台学院</w:t>
      </w:r>
      <w:r>
        <w:rPr>
          <w:rFonts w:hint="default" w:ascii="方正小标宋简体" w:hAnsi="方正小标宋简体" w:eastAsia="方正小标宋简体" w:cs="方正小标宋简体"/>
          <w:i w:val="0"/>
          <w:iCs w:val="0"/>
          <w:caps w:val="0"/>
          <w:spacing w:val="0"/>
          <w:kern w:val="0"/>
          <w:sz w:val="44"/>
          <w:szCs w:val="44"/>
          <w:vertAlign w:val="baseline"/>
          <w:lang w:val="en-US" w:eastAsia="zh-CN" w:bidi="ar"/>
        </w:rPr>
        <w:t>2023年高层次人才引进公告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textAlignment w:val="baseline"/>
        <w:rPr>
          <w:rFonts w:hint="default" w:ascii="Helvetica" w:hAnsi="Helvetica" w:eastAsia="Helvetica" w:cs="Helvetica"/>
          <w:i w:val="0"/>
          <w:iCs w:val="0"/>
          <w:caps w:val="0"/>
          <w:spacing w:val="0"/>
          <w:sz w:val="21"/>
          <w:szCs w:val="21"/>
        </w:rPr>
      </w:pPr>
      <w:r>
        <w:rPr>
          <w:rFonts w:ascii="Microsoft YaHei UI" w:hAnsi="Microsoft YaHei UI" w:eastAsia="Microsoft YaHei UI" w:cs="Microsoft YaHei UI"/>
          <w:i w:val="0"/>
          <w:iCs w:val="0"/>
          <w:caps w:val="0"/>
          <w:spacing w:val="8"/>
          <w:sz w:val="25"/>
          <w:szCs w:val="25"/>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textAlignment w:val="baseline"/>
        <w:rPr>
          <w:rFonts w:hint="default" w:ascii="Helvetica" w:hAnsi="Helvetica" w:eastAsia="Helvetica" w:cs="Helvetica"/>
          <w:i w:val="0"/>
          <w:iCs w:val="0"/>
          <w:caps w:val="0"/>
          <w:spacing w:val="0"/>
          <w:sz w:val="21"/>
          <w:szCs w:val="21"/>
        </w:rPr>
      </w:pPr>
      <w:r>
        <w:rPr>
          <w:rFonts w:ascii="黑体" w:hAnsi="宋体" w:eastAsia="黑体" w:cs="黑体"/>
          <w:i w:val="0"/>
          <w:iCs w:val="0"/>
          <w:caps w:val="0"/>
          <w:spacing w:val="0"/>
          <w:kern w:val="0"/>
          <w:sz w:val="32"/>
          <w:szCs w:val="32"/>
          <w:vertAlign w:val="baseline"/>
          <w:lang w:val="en-US" w:eastAsia="zh-CN" w:bidi="ar"/>
        </w:rPr>
        <w:t>一、学校简介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ascii="仿宋_GB2312" w:hAnsi="Helvetica" w:eastAsia="仿宋_GB2312" w:cs="仿宋_GB2312"/>
          <w:i w:val="0"/>
          <w:iCs w:val="0"/>
          <w:caps w:val="0"/>
          <w:spacing w:val="0"/>
          <w:kern w:val="0"/>
          <w:sz w:val="32"/>
          <w:szCs w:val="32"/>
          <w:vertAlign w:val="baseline"/>
          <w:lang w:val="en-US" w:eastAsia="zh-CN" w:bidi="ar"/>
        </w:rPr>
        <w:t>茅台学院（</w:t>
      </w:r>
      <w:r>
        <w:rPr>
          <w:rFonts w:hint="default" w:ascii="仿宋_GB2312" w:hAnsi="Helvetica" w:eastAsia="仿宋_GB2312" w:cs="仿宋_GB2312"/>
          <w:i w:val="0"/>
          <w:iCs w:val="0"/>
          <w:caps w:val="0"/>
          <w:spacing w:val="0"/>
          <w:kern w:val="0"/>
          <w:sz w:val="32"/>
          <w:szCs w:val="32"/>
          <w:vertAlign w:val="baseline"/>
          <w:lang w:val="en-US" w:eastAsia="zh-CN" w:bidi="ar"/>
        </w:rPr>
        <w:t>Moutai Institute）是由中国贵州茅台酒厂（集团）有限责任公司举办，2017年5月23日经国家教育部批准设置的非营利性应用型普通本科高校。学校坐落于“中国酒都”贵州省仁怀市，占地1078.5亩，建筑面积29.5万平方米，教学科研设施设备先进，图书资源充足，学习生活环境舒适优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学校坚持社会主义办学方向，以立德树人为根本任务，以“小、精、高、特、开”为办学策略，围绕酿酒产业链设置专业，以“产教融合”为培养模式，致力于培养服务酒行业及相关领域的高素质应用型人才，办学特色逐步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学校以工学为主，多学科协调发展，现设有白酒酿造工程、酿酒工程、葡萄与葡萄酒工程、食品质量与安全、食品科学与工程、资源循环科学与工程、环境科学与工程、种子科学与工程、自动化、包装工程、市场营销、电子商务、物流管理、酒店管理、旅游管理15个本科专业，其中酿酒工程是省级“双万”一流建设专业。现有轻工技术与工程和社会学2个省级重点支持学科，以及贵州省保健酒工程研究中心、贵州省酒糟高效利用工程研究中心等省部级科研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二、需求人才层次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第一层次（A类）：</w:t>
      </w:r>
      <w:r>
        <w:rPr>
          <w:rFonts w:hint="default" w:ascii="仿宋_GB2312" w:hAnsi="Helvetica" w:eastAsia="仿宋_GB2312" w:cs="仿宋_GB2312"/>
          <w:i w:val="0"/>
          <w:iCs w:val="0"/>
          <w:caps w:val="0"/>
          <w:spacing w:val="0"/>
          <w:kern w:val="0"/>
          <w:sz w:val="32"/>
          <w:szCs w:val="32"/>
          <w:vertAlign w:val="baseline"/>
          <w:lang w:val="en-US" w:eastAsia="zh-CN" w:bidi="ar"/>
        </w:rPr>
        <w:t>具有较高学术水平和在社会活动中具有较大影响力的知名专家学者，在学科领域达到中国科学院院士、中国工程院院士、国家最高科技奖获得者的同层次实力、水平、成就、影响的。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第二层次（B类）：</w:t>
      </w:r>
      <w:r>
        <w:rPr>
          <w:rFonts w:hint="default" w:ascii="仿宋_GB2312" w:hAnsi="Helvetica" w:eastAsia="仿宋_GB2312" w:cs="仿宋_GB2312"/>
          <w:i w:val="0"/>
          <w:iCs w:val="0"/>
          <w:caps w:val="0"/>
          <w:spacing w:val="0"/>
          <w:kern w:val="0"/>
          <w:sz w:val="32"/>
          <w:szCs w:val="32"/>
          <w:vertAlign w:val="baseline"/>
          <w:lang w:val="en-US" w:eastAsia="zh-CN" w:bidi="ar"/>
        </w:rPr>
        <w:t>具有较高学术水平和较大影响力的知名专家学者，在学科领域达到国家杰出青年科学基金获得者、国家级重点实验室学术技术带头人、贵州省管理期内的省管专家（Ⅰ类）的同层次实力、水平、成就、影响的。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第三层次（C类）：</w:t>
      </w:r>
      <w:r>
        <w:rPr>
          <w:rFonts w:hint="default" w:ascii="仿宋_GB2312" w:hAnsi="Helvetica" w:eastAsia="仿宋_GB2312" w:cs="仿宋_GB2312"/>
          <w:i w:val="0"/>
          <w:iCs w:val="0"/>
          <w:caps w:val="0"/>
          <w:spacing w:val="0"/>
          <w:kern w:val="0"/>
          <w:sz w:val="32"/>
          <w:szCs w:val="32"/>
          <w:vertAlign w:val="baseline"/>
          <w:lang w:val="en-US" w:eastAsia="zh-CN" w:bidi="ar"/>
        </w:rPr>
        <w:t>在学科领域达到国家优秀青年科学基金获得者、贵州省管理期内的省管专家、贵州省高层次创新型人才“百”层次人选的同层次实力、水平、成就、影响的，或者对国家有突出贡献的中青年专家。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第四层次：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D类：</w:t>
      </w:r>
      <w:r>
        <w:rPr>
          <w:rFonts w:hint="default" w:ascii="仿宋_GB2312" w:hAnsi="Helvetica" w:eastAsia="仿宋_GB2312" w:cs="仿宋_GB2312"/>
          <w:i w:val="0"/>
          <w:iCs w:val="0"/>
          <w:caps w:val="0"/>
          <w:spacing w:val="0"/>
          <w:kern w:val="0"/>
          <w:sz w:val="32"/>
          <w:szCs w:val="32"/>
          <w:vertAlign w:val="baseline"/>
          <w:lang w:val="en-US" w:eastAsia="zh-CN" w:bidi="ar"/>
        </w:rPr>
        <w:t>具有博士研究生学历学位且为正高级职称。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E类：</w:t>
      </w:r>
      <w:r>
        <w:rPr>
          <w:rFonts w:hint="default" w:ascii="仿宋_GB2312" w:hAnsi="Helvetica" w:eastAsia="仿宋_GB2312" w:cs="仿宋_GB2312"/>
          <w:i w:val="0"/>
          <w:iCs w:val="0"/>
          <w:caps w:val="0"/>
          <w:spacing w:val="0"/>
          <w:kern w:val="0"/>
          <w:sz w:val="32"/>
          <w:szCs w:val="32"/>
          <w:vertAlign w:val="baseline"/>
          <w:lang w:val="en-US" w:eastAsia="zh-CN" w:bidi="ar"/>
        </w:rPr>
        <w:t>具有博士研究生学历学位（具有硕士研究生学历学位且为正高级职称的，因专业需求视为E类层次人才）。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textAlignment w:val="baseline"/>
        <w:rPr>
          <w:rFonts w:hint="eastAsia" w:ascii="黑体" w:hAnsi="宋体" w:eastAsia="黑体" w:cs="黑体"/>
          <w:i w:val="0"/>
          <w:iCs w:val="0"/>
          <w:caps w:val="0"/>
          <w:spacing w:val="0"/>
          <w:kern w:val="0"/>
          <w:sz w:val="32"/>
          <w:szCs w:val="32"/>
          <w:vertAlign w:val="baseline"/>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三、引进政策</w:t>
      </w:r>
    </w:p>
    <w:tbl>
      <w:tblPr>
        <w:tblStyle w:val="3"/>
        <w:tblW w:w="8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52"/>
        <w:gridCol w:w="1263"/>
        <w:gridCol w:w="1263"/>
        <w:gridCol w:w="1276"/>
        <w:gridCol w:w="1179"/>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052" w:type="dxa"/>
            <w:tcBorders>
              <w:top w:val="single" w:color="auto" w:sz="8" w:space="0"/>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
              <w:rPr>
                <w:rFonts w:ascii="微软雅黑" w:hAnsi="微软雅黑" w:eastAsia="微软雅黑" w:cs="微软雅黑"/>
                <w:b/>
                <w:bCs/>
                <w:color w:val="555555"/>
                <w:sz w:val="21"/>
                <w:szCs w:val="21"/>
                <w:vertAlign w:val="baseline"/>
              </w:rPr>
              <w:t>待遇</w:t>
            </w:r>
            <w:r>
              <w:rPr>
                <w:rFonts w:hint="eastAsia" w:ascii="微软雅黑" w:hAnsi="微软雅黑" w:eastAsia="微软雅黑" w:cs="微软雅黑"/>
                <w:b/>
                <w:bCs/>
                <w:color w:val="555555"/>
                <w:sz w:val="21"/>
                <w:szCs w:val="21"/>
                <w:vertAlign w:val="baseline"/>
              </w:rPr>
              <w:t>/层次</w:t>
            </w:r>
          </w:p>
        </w:tc>
        <w:tc>
          <w:tcPr>
            <w:tcW w:w="1263"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b/>
                <w:bCs/>
                <w:color w:val="555555"/>
                <w:sz w:val="21"/>
                <w:szCs w:val="21"/>
                <w:vertAlign w:val="baseline"/>
              </w:rPr>
              <w:t>A类</w:t>
            </w:r>
          </w:p>
        </w:tc>
        <w:tc>
          <w:tcPr>
            <w:tcW w:w="1263"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b/>
                <w:bCs/>
                <w:color w:val="555555"/>
                <w:sz w:val="21"/>
                <w:szCs w:val="21"/>
                <w:vertAlign w:val="baseline"/>
              </w:rPr>
              <w:t>B类</w:t>
            </w:r>
          </w:p>
        </w:tc>
        <w:tc>
          <w:tcPr>
            <w:tcW w:w="1276"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b/>
                <w:bCs/>
                <w:color w:val="555555"/>
                <w:sz w:val="21"/>
                <w:szCs w:val="21"/>
                <w:vertAlign w:val="baseline"/>
              </w:rPr>
              <w:t>C类</w:t>
            </w:r>
          </w:p>
        </w:tc>
        <w:tc>
          <w:tcPr>
            <w:tcW w:w="1179"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b/>
                <w:bCs/>
                <w:color w:val="555555"/>
                <w:sz w:val="21"/>
                <w:szCs w:val="21"/>
                <w:vertAlign w:val="baseline"/>
              </w:rPr>
              <w:t>D类</w:t>
            </w:r>
          </w:p>
        </w:tc>
        <w:tc>
          <w:tcPr>
            <w:tcW w:w="1580"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b/>
                <w:bCs/>
                <w:color w:val="555555"/>
                <w:sz w:val="21"/>
                <w:szCs w:val="21"/>
                <w:vertAlign w:val="baseline"/>
              </w:rPr>
              <w:t>E类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052" w:type="dxa"/>
            <w:tcBorders>
              <w:top w:val="nil"/>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住房补贴</w:t>
            </w:r>
          </w:p>
        </w:tc>
        <w:tc>
          <w:tcPr>
            <w:tcW w:w="3802" w:type="dxa"/>
            <w:gridSpan w:val="3"/>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100万元--220万元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（面议）</w:t>
            </w:r>
          </w:p>
        </w:tc>
        <w:tc>
          <w:tcPr>
            <w:tcW w:w="2759" w:type="dxa"/>
            <w:gridSpan w:val="2"/>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pPr>
            <w:r>
              <w:rPr>
                <w:rFonts w:hint="eastAsia" w:ascii="微软雅黑" w:hAnsi="微软雅黑" w:eastAsia="微软雅黑" w:cs="微软雅黑"/>
                <w:color w:val="555555"/>
                <w:kern w:val="0"/>
                <w:sz w:val="20"/>
                <w:szCs w:val="20"/>
                <w:vertAlign w:val="baseline"/>
                <w:lang w:val="en-US" w:eastAsia="zh-CN" w:bidi="ar"/>
              </w:rPr>
              <w:t>80万元--90万元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pPr>
            <w:r>
              <w:rPr>
                <w:rFonts w:hint="eastAsia" w:ascii="微软雅黑" w:hAnsi="微软雅黑" w:eastAsia="微软雅黑" w:cs="微软雅黑"/>
                <w:color w:val="555555"/>
                <w:kern w:val="0"/>
                <w:sz w:val="20"/>
                <w:szCs w:val="20"/>
                <w:vertAlign w:val="baseli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052" w:type="dxa"/>
            <w:tcBorders>
              <w:top w:val="nil"/>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生活津贴（即资质工资）</w:t>
            </w:r>
          </w:p>
        </w:tc>
        <w:tc>
          <w:tcPr>
            <w:tcW w:w="3802" w:type="dxa"/>
            <w:gridSpan w:val="3"/>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3000元/月--20000元/月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（面议）</w:t>
            </w:r>
          </w:p>
        </w:tc>
        <w:tc>
          <w:tcPr>
            <w:tcW w:w="2759" w:type="dxa"/>
            <w:gridSpan w:val="2"/>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pPr>
            <w:r>
              <w:rPr>
                <w:rFonts w:hint="eastAsia" w:ascii="微软雅黑" w:hAnsi="微软雅黑" w:eastAsia="微软雅黑" w:cs="微软雅黑"/>
                <w:color w:val="555555"/>
                <w:kern w:val="0"/>
                <w:sz w:val="20"/>
                <w:szCs w:val="20"/>
                <w:vertAlign w:val="baseline"/>
                <w:lang w:val="en-US" w:eastAsia="zh-CN" w:bidi="ar"/>
              </w:rPr>
              <w:t>1200元/月--1500元/月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aseline"/>
            </w:pPr>
            <w:r>
              <w:rPr>
                <w:rFonts w:hint="eastAsia" w:ascii="微软雅黑" w:hAnsi="微软雅黑" w:eastAsia="微软雅黑" w:cs="微软雅黑"/>
                <w:color w:val="555555"/>
                <w:kern w:val="0"/>
                <w:sz w:val="20"/>
                <w:szCs w:val="20"/>
                <w:vertAlign w:val="baseline"/>
                <w:lang w:val="en-US" w:eastAsia="zh-CN" w:bidi="ar"/>
              </w:rPr>
              <w:t>（面议）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052" w:type="dxa"/>
            <w:tcBorders>
              <w:top w:val="nil"/>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过渡性住房</w:t>
            </w:r>
          </w:p>
        </w:tc>
        <w:tc>
          <w:tcPr>
            <w:tcW w:w="6561" w:type="dxa"/>
            <w:gridSpan w:val="5"/>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可申请一套过渡性住房，三年内免收房租。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052" w:type="dxa"/>
            <w:tcBorders>
              <w:top w:val="nil"/>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科研启动费</w:t>
            </w:r>
          </w:p>
        </w:tc>
        <w:tc>
          <w:tcPr>
            <w:tcW w:w="6561" w:type="dxa"/>
            <w:gridSpan w:val="5"/>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按照学校《高层次人才科研启动经费管理办法》执行。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052" w:type="dxa"/>
            <w:tcBorders>
              <w:top w:val="nil"/>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薪酬待遇（年）</w:t>
            </w:r>
          </w:p>
        </w:tc>
        <w:tc>
          <w:tcPr>
            <w:tcW w:w="1263" w:type="dxa"/>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面议</w:t>
            </w:r>
          </w:p>
        </w:tc>
        <w:tc>
          <w:tcPr>
            <w:tcW w:w="1263"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面议</w:t>
            </w:r>
          </w:p>
        </w:tc>
        <w:tc>
          <w:tcPr>
            <w:tcW w:w="1276"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面议</w:t>
            </w:r>
          </w:p>
        </w:tc>
        <w:tc>
          <w:tcPr>
            <w:tcW w:w="1179"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不低于25万元</w:t>
            </w:r>
          </w:p>
        </w:tc>
        <w:tc>
          <w:tcPr>
            <w:tcW w:w="1580" w:type="dxa"/>
            <w:tcBorders>
              <w:top w:val="single" w:color="auto" w:sz="8" w:space="0"/>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不低于20万元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052" w:type="dxa"/>
            <w:tcBorders>
              <w:top w:val="nil"/>
              <w:left w:val="single" w:color="auto" w:sz="8" w:space="0"/>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年龄要求</w:t>
            </w:r>
          </w:p>
        </w:tc>
        <w:tc>
          <w:tcPr>
            <w:tcW w:w="1263" w:type="dxa"/>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一般不超过70岁</w:t>
            </w:r>
          </w:p>
        </w:tc>
        <w:tc>
          <w:tcPr>
            <w:tcW w:w="1263" w:type="dxa"/>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一般不超过55岁</w:t>
            </w:r>
          </w:p>
        </w:tc>
        <w:tc>
          <w:tcPr>
            <w:tcW w:w="1276" w:type="dxa"/>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一般不超过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50岁</w:t>
            </w:r>
          </w:p>
        </w:tc>
        <w:tc>
          <w:tcPr>
            <w:tcW w:w="1179" w:type="dxa"/>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一般不超过45岁</w:t>
            </w:r>
          </w:p>
        </w:tc>
        <w:tc>
          <w:tcPr>
            <w:tcW w:w="1580" w:type="dxa"/>
            <w:tcBorders>
              <w:top w:val="nil"/>
              <w:left w:val="nil"/>
              <w:bottom w:val="single" w:color="auto" w:sz="8" w:space="0"/>
              <w:right w:val="single" w:color="auto" w:sz="8" w:space="0"/>
            </w:tcBorders>
            <w:shd w:val="clear" w:color="auto" w:fill="auto"/>
            <w:tcMar>
              <w:top w:w="50" w:type="dxa"/>
              <w:left w:w="100" w:type="dxa"/>
              <w:bottom w:w="50" w:type="dxa"/>
              <w:right w:w="10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一般不超过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微软雅黑" w:hAnsi="微软雅黑" w:eastAsia="微软雅黑" w:cs="微软雅黑"/>
                <w:color w:val="555555"/>
                <w:sz w:val="20"/>
                <w:szCs w:val="20"/>
                <w:vertAlign w:val="baseline"/>
              </w:rPr>
              <w:t>45岁</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textAlignment w:val="baseline"/>
        <w:rPr>
          <w:rFonts w:hint="default" w:ascii="Helvetica" w:hAnsi="Helvetica" w:eastAsia="Helvetica" w:cs="Helvetica"/>
          <w:i w:val="0"/>
          <w:iCs w:val="0"/>
          <w:caps w:val="0"/>
          <w:spacing w:val="0"/>
          <w:sz w:val="21"/>
          <w:szCs w:val="21"/>
        </w:rPr>
      </w:pPr>
      <w:r>
        <w:rPr>
          <w:rFonts w:hint="default" w:ascii="Microsoft YaHei UI" w:hAnsi="Microsoft YaHei UI" w:eastAsia="Microsoft YaHei UI" w:cs="Microsoft YaHei UI"/>
          <w:i w:val="0"/>
          <w:iCs w:val="0"/>
          <w:caps w:val="0"/>
          <w:spacing w:val="8"/>
          <w:sz w:val="25"/>
          <w:szCs w:val="25"/>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1.按“就高不就低、不重复计算”原则，发放住房补贴和生活津贴（即资质工资）。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2.第一、二层次人才团队负责人可给予8个人才引进指标，3年内可自行引进相关领域的博士组建科研团队，自行引进的博士适用本招聘公告载明的引进政策，待遇以最终签订的合同为准。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3.夫妻双方均通过高层次人才招聘流程入校工作的，其中一人可申请一套过渡性住房。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4.高层次人才配偶具有硕士研究生学历学位、年龄不超过45岁的，可向学校提出申请协调解决配偶工作。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5.高层次人才若有子女随迁，可向学校提出申请协调解决子女入学问题。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6.报销来校面谈期间住宿费和往返路费，标准按照学校相关规定执行。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7.上述所有待遇以最终签订合同的所载内容为准。</w:t>
      </w:r>
    </w:p>
    <w:p>
      <w:pPr>
        <w:rPr>
          <w:rFonts w:hint="eastAsia" w:ascii="黑体" w:hAnsi="宋体" w:eastAsia="黑体" w:cs="黑体"/>
          <w:i w:val="0"/>
          <w:iCs w:val="0"/>
          <w:caps w:val="0"/>
          <w:spacing w:val="0"/>
          <w:kern w:val="0"/>
          <w:sz w:val="32"/>
          <w:szCs w:val="32"/>
          <w:vertAlign w:val="baseline"/>
          <w:lang w:val="en-US" w:eastAsia="zh-CN" w:bidi="ar"/>
        </w:rPr>
      </w:pPr>
      <w:r>
        <w:rPr>
          <w:rFonts w:hint="eastAsia" w:ascii="黑体" w:hAnsi="宋体" w:eastAsia="黑体" w:cs="黑体"/>
          <w:i w:val="0"/>
          <w:iCs w:val="0"/>
          <w:caps w:val="0"/>
          <w:spacing w:val="0"/>
          <w:kern w:val="0"/>
          <w:sz w:val="32"/>
          <w:szCs w:val="32"/>
          <w:vertAlign w:val="baseline"/>
          <w:lang w:val="en-US" w:eastAsia="zh-CN" w:bidi="ar"/>
        </w:rPr>
        <w:br w:type="page"/>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20" w:firstLineChars="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四、招聘需求</w:t>
      </w:r>
    </w:p>
    <w:tbl>
      <w:tblPr>
        <w:tblStyle w:val="3"/>
        <w:tblW w:w="8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50"/>
        <w:gridCol w:w="1566"/>
        <w:gridCol w:w="3749"/>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5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黑体" w:hAnsi="宋体" w:eastAsia="黑体" w:cs="黑体"/>
                <w:spacing w:val="8"/>
                <w:sz w:val="21"/>
                <w:szCs w:val="21"/>
                <w:vertAlign w:val="baseline"/>
              </w:rPr>
              <w:t>拟聘单位</w:t>
            </w:r>
          </w:p>
        </w:tc>
        <w:tc>
          <w:tcPr>
            <w:tcW w:w="156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黑体" w:hAnsi="宋体" w:eastAsia="黑体" w:cs="黑体"/>
                <w:spacing w:val="8"/>
                <w:sz w:val="21"/>
                <w:szCs w:val="21"/>
                <w:vertAlign w:val="baseline"/>
              </w:rPr>
              <w:t>拟聘岗位</w:t>
            </w:r>
          </w:p>
        </w:tc>
        <w:tc>
          <w:tcPr>
            <w:tcW w:w="374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黑体" w:hAnsi="宋体" w:eastAsia="黑体" w:cs="黑体"/>
                <w:spacing w:val="8"/>
                <w:sz w:val="21"/>
                <w:szCs w:val="21"/>
                <w:vertAlign w:val="baseline"/>
              </w:rPr>
              <w:t>需求专业</w:t>
            </w:r>
          </w:p>
        </w:tc>
        <w:tc>
          <w:tcPr>
            <w:tcW w:w="211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黑体" w:hAnsi="宋体" w:eastAsia="黑体" w:cs="黑体"/>
                <w:spacing w:val="8"/>
                <w:sz w:val="21"/>
                <w:szCs w:val="21"/>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3"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酿酒工程系</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化学工程与技术、轻工技术与工程、食品科学与工程、生物工程等相关专业。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default" w:ascii="Microsoft YaHei UI" w:hAnsi="Microsoft YaHei UI" w:eastAsia="Microsoft YaHei UI" w:cs="Microsoft YaHei UI"/>
                <w:spacing w:val="8"/>
                <w:kern w:val="0"/>
                <w:sz w:val="21"/>
                <w:szCs w:val="21"/>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9"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食品科学与工程系</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化学、化学工程与技术 、生物学、生物工程、发酵工程和食品科学与工程类等相关专业。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eastAsia" w:ascii="宋体" w:hAnsi="宋体" w:eastAsia="宋体" w:cs="宋体"/>
                <w:spacing w:val="8"/>
                <w:sz w:val="21"/>
                <w:szCs w:val="21"/>
                <w:vertAlign w:val="baseline"/>
              </w:rPr>
              <w:t>其他要求：化学、化学工程与技术和生物学专业需要有在SCI中科院学术期刊分区大类一区期刊发表学术论文1篇或二区期刊3篇以上。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6"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资源环境系</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高分子材料、生物化工、化工原理、工业发酵、固体废弃物循环再利用产业经济循环、种子加工与储存等相关专业或研究背景。</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default" w:ascii="Microsoft YaHei UI" w:hAnsi="Microsoft YaHei UI" w:eastAsia="Microsoft YaHei UI" w:cs="Microsoft YaHei UI"/>
                <w:spacing w:val="8"/>
                <w:kern w:val="0"/>
                <w:sz w:val="21"/>
                <w:szCs w:val="21"/>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酿酒工程自动化系</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计算机科学与技术、信息与通信工程、控制科学与工程、材料科学与工程、设计艺术学等相关专业。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default" w:ascii="Microsoft YaHei UI" w:hAnsi="Microsoft YaHei UI" w:eastAsia="Microsoft YaHei UI" w:cs="Microsoft YaHei UI"/>
                <w:spacing w:val="8"/>
                <w:kern w:val="0"/>
                <w:sz w:val="21"/>
                <w:szCs w:val="21"/>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工商管理系</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工商管理、管理科学与工程等相关专业。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default" w:ascii="Microsoft YaHei UI" w:hAnsi="Microsoft YaHei UI" w:eastAsia="Microsoft YaHei UI" w:cs="Microsoft YaHei UI"/>
                <w:spacing w:val="8"/>
                <w:kern w:val="0"/>
                <w:sz w:val="21"/>
                <w:szCs w:val="21"/>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旅游管理系</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旅游管理、企业管理、产业经济学、自然地理学、人文地理学、风景园林学、民俗学、人类学等相关专业。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default" w:ascii="Microsoft YaHei UI" w:hAnsi="Microsoft YaHei UI" w:eastAsia="Microsoft YaHei UI" w:cs="Microsoft YaHei UI"/>
                <w:spacing w:val="8"/>
                <w:kern w:val="0"/>
                <w:sz w:val="21"/>
                <w:szCs w:val="21"/>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公共基础教学部</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体育学、数学、英语语言文学等相关专业。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baseline"/>
            </w:pPr>
            <w:r>
              <w:rPr>
                <w:rFonts w:hint="default" w:ascii="Microsoft YaHei UI" w:hAnsi="Microsoft YaHei UI" w:eastAsia="Microsoft YaHei UI" w:cs="Microsoft YaHei UI"/>
                <w:spacing w:val="8"/>
                <w:kern w:val="0"/>
                <w:sz w:val="21"/>
                <w:szCs w:val="21"/>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155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马克思主义学院</w:t>
            </w:r>
          </w:p>
        </w:tc>
        <w:tc>
          <w:tcPr>
            <w:tcW w:w="1566"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textAlignment w:val="center"/>
            </w:pPr>
            <w:r>
              <w:rPr>
                <w:rFonts w:hint="eastAsia" w:ascii="宋体" w:hAnsi="宋体" w:eastAsia="宋体" w:cs="宋体"/>
                <w:spacing w:val="8"/>
                <w:sz w:val="21"/>
                <w:szCs w:val="21"/>
                <w:vertAlign w:val="baseline"/>
              </w:rPr>
              <w:t>专任教师</w:t>
            </w:r>
          </w:p>
        </w:tc>
        <w:tc>
          <w:tcPr>
            <w:tcW w:w="3749"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马克思主义哲学、马克思主义理论、政治经济学等相关专业。</w:t>
            </w:r>
          </w:p>
        </w:tc>
        <w:tc>
          <w:tcPr>
            <w:tcW w:w="2118" w:type="dxa"/>
            <w:tcBorders>
              <w:top w:val="nil"/>
              <w:left w:val="nil"/>
              <w:bottom w:val="single" w:color="000000" w:sz="8" w:space="0"/>
              <w:right w:val="single" w:color="000000"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textAlignment w:val="center"/>
            </w:pPr>
            <w:r>
              <w:rPr>
                <w:rFonts w:hint="eastAsia" w:ascii="宋体" w:hAnsi="宋体" w:eastAsia="宋体" w:cs="宋体"/>
                <w:spacing w:val="8"/>
                <w:sz w:val="21"/>
                <w:szCs w:val="21"/>
                <w:vertAlign w:val="baseline"/>
              </w:rPr>
              <w:t>原则上应为中共党员</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textAlignment w:val="baseline"/>
        <w:rPr>
          <w:rFonts w:hint="default" w:ascii="Helvetica" w:hAnsi="Helvetica" w:eastAsia="Helvetica" w:cs="Helvetica"/>
          <w:i w:val="0"/>
          <w:iCs w:val="0"/>
          <w:caps w:val="0"/>
          <w:spacing w:val="0"/>
          <w:sz w:val="21"/>
          <w:szCs w:val="21"/>
        </w:rPr>
      </w:pPr>
      <w:r>
        <w:rPr>
          <w:rFonts w:hint="eastAsia" w:ascii="黑体" w:hAnsi="宋体" w:eastAsia="黑体" w:cs="黑体"/>
          <w:i w:val="0"/>
          <w:iCs w:val="0"/>
          <w:caps w:val="0"/>
          <w:spacing w:val="0"/>
          <w:kern w:val="0"/>
          <w:sz w:val="32"/>
          <w:szCs w:val="32"/>
          <w:vertAlign w:val="baseline"/>
          <w:lang w:val="en-US" w:eastAsia="zh-CN" w:bidi="ar"/>
        </w:rPr>
        <w:t>五、引进程序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全年招聘，可来校现场报名或网上投递简历，学校将根据报名情况及时组织面谈工作。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textAlignment w:val="baseline"/>
        <w:rPr>
          <w:rFonts w:hint="default" w:ascii="Helvetica" w:hAnsi="Helvetica" w:eastAsia="Helvetica" w:cs="Helvetica"/>
          <w:i w:val="0"/>
          <w:iCs w:val="0"/>
          <w:caps w:val="0"/>
          <w:spacing w:val="0"/>
          <w:sz w:val="21"/>
          <w:szCs w:val="21"/>
        </w:rPr>
      </w:pPr>
      <w:r>
        <w:rPr>
          <w:rFonts w:ascii="楷体_GB2312" w:hAnsi="Helvetica" w:eastAsia="楷体_GB2312" w:cs="楷体_GB2312"/>
          <w:b/>
          <w:bCs/>
          <w:i w:val="0"/>
          <w:iCs w:val="0"/>
          <w:caps w:val="0"/>
          <w:spacing w:val="0"/>
          <w:kern w:val="0"/>
          <w:sz w:val="32"/>
          <w:szCs w:val="32"/>
          <w:vertAlign w:val="baseline"/>
          <w:lang w:val="en-US" w:eastAsia="zh-CN" w:bidi="ar"/>
        </w:rPr>
        <w:t>（一）报名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符合招聘条件者，网上报名请下载填写《茅台学院高层次人才应聘登记表》（现场报名请填写打印）（附件1）后，附以下材料扫描件（或复印件）：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1.有效二代居民身份证（正反面）；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2.硕士、博士阶段毕业证和学位证。港澳台或境外高校毕业的需提供教育部留学服务中心出具的《学历学位认证书》（2023年毕业生未取得学位证、毕业证的，需提供加盖学校公章的就业推荐表和学籍在线验证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3.科研成果（代表性论文等）；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4.其他证书资料。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所有材料打包发送至邮箱：mtxyzzrsc@163.com</w:t>
      </w:r>
      <w:r>
        <w:rPr>
          <w:rFonts w:hint="eastAsia" w:ascii="仿宋_GB2312" w:hAnsi="Helvetica" w:eastAsia="仿宋_GB2312" w:cs="仿宋_GB2312"/>
          <w:i w:val="0"/>
          <w:iCs w:val="0"/>
          <w:caps w:val="0"/>
          <w:spacing w:val="0"/>
          <w:kern w:val="0"/>
          <w:sz w:val="32"/>
          <w:szCs w:val="32"/>
          <w:vertAlign w:val="baseline"/>
          <w:lang w:val="en-US" w:eastAsia="zh-CN" w:bidi="ar"/>
        </w:rPr>
        <w:t>抄送至rscrcbzp@163.com</w:t>
      </w:r>
      <w:r>
        <w:rPr>
          <w:rFonts w:hint="default" w:ascii="仿宋_GB2312" w:hAnsi="Helvetica" w:eastAsia="仿宋_GB2312" w:cs="仿宋_GB2312"/>
          <w:i w:val="0"/>
          <w:iCs w:val="0"/>
          <w:caps w:val="0"/>
          <w:spacing w:val="0"/>
          <w:kern w:val="0"/>
          <w:sz w:val="32"/>
          <w:szCs w:val="32"/>
          <w:vertAlign w:val="baseline"/>
          <w:lang w:val="en-US" w:eastAsia="zh-CN" w:bidi="ar"/>
        </w:rPr>
        <w:t>，电子邮件标题为“</w:t>
      </w:r>
      <w:r>
        <w:rPr>
          <w:rFonts w:hint="eastAsia" w:ascii="仿宋_GB2312" w:hAnsi="Helvetica" w:eastAsia="仿宋_GB2312" w:cs="仿宋_GB2312"/>
          <w:i w:val="0"/>
          <w:iCs w:val="0"/>
          <w:caps w:val="0"/>
          <w:spacing w:val="0"/>
          <w:kern w:val="0"/>
          <w:sz w:val="32"/>
          <w:szCs w:val="32"/>
          <w:vertAlign w:val="baseline"/>
          <w:lang w:val="en-US" w:eastAsia="zh-CN" w:bidi="ar"/>
        </w:rPr>
        <w:t>茅台学院*</w:t>
      </w:r>
      <w:r>
        <w:rPr>
          <w:rFonts w:hint="default" w:ascii="仿宋_GB2312" w:hAnsi="Helvetica" w:eastAsia="仿宋_GB2312" w:cs="仿宋_GB2312"/>
          <w:i w:val="0"/>
          <w:iCs w:val="0"/>
          <w:caps w:val="0"/>
          <w:spacing w:val="0"/>
          <w:kern w:val="0"/>
          <w:sz w:val="32"/>
          <w:szCs w:val="32"/>
          <w:vertAlign w:val="baseline"/>
          <w:lang w:val="en-US" w:eastAsia="zh-CN" w:bidi="ar"/>
        </w:rPr>
        <w:t>姓名*应聘单位*联系方式”。应聘人员在报名过程中提交任何个人信息的行为均被视为本人自愿且同意提供该个人信息，并授权学校基于招聘和劳动关系建立等目的处理该信息。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textAlignment w:val="baseline"/>
        <w:rPr>
          <w:rFonts w:hint="default" w:ascii="Helvetica" w:hAnsi="Helvetica" w:eastAsia="Helvetica" w:cs="Helvetica"/>
          <w:i w:val="0"/>
          <w:iCs w:val="0"/>
          <w:caps w:val="0"/>
          <w:spacing w:val="0"/>
          <w:sz w:val="21"/>
          <w:szCs w:val="21"/>
        </w:rPr>
      </w:pPr>
      <w:r>
        <w:rPr>
          <w:rFonts w:hint="default" w:ascii="楷体_GB2312" w:hAnsi="Helvetica" w:eastAsia="楷体_GB2312" w:cs="楷体_GB2312"/>
          <w:b/>
          <w:bCs/>
          <w:i w:val="0"/>
          <w:iCs w:val="0"/>
          <w:caps w:val="0"/>
          <w:spacing w:val="0"/>
          <w:kern w:val="0"/>
          <w:sz w:val="32"/>
          <w:szCs w:val="32"/>
          <w:vertAlign w:val="baseline"/>
          <w:lang w:val="en-US" w:eastAsia="zh-CN" w:bidi="ar"/>
        </w:rPr>
        <w:t>（二）面谈及体检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学校将定期汇总报名情况，组织网络或现场面谈，并根据面谈情况通知体检，请应聘人员保持手机畅通。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textAlignment w:val="baseline"/>
        <w:rPr>
          <w:rFonts w:hint="default" w:ascii="Helvetica" w:hAnsi="Helvetica" w:eastAsia="Helvetica" w:cs="Helvetica"/>
          <w:i w:val="0"/>
          <w:iCs w:val="0"/>
          <w:caps w:val="0"/>
          <w:spacing w:val="0"/>
          <w:sz w:val="21"/>
          <w:szCs w:val="21"/>
        </w:rPr>
      </w:pPr>
      <w:r>
        <w:rPr>
          <w:rFonts w:hint="default" w:ascii="楷体_GB2312" w:hAnsi="Helvetica" w:eastAsia="楷体_GB2312" w:cs="楷体_GB2312"/>
          <w:b/>
          <w:bCs/>
          <w:i w:val="0"/>
          <w:iCs w:val="0"/>
          <w:caps w:val="0"/>
          <w:spacing w:val="0"/>
          <w:kern w:val="0"/>
          <w:sz w:val="32"/>
          <w:szCs w:val="32"/>
          <w:vertAlign w:val="baseline"/>
          <w:lang w:val="en-US" w:eastAsia="zh-CN" w:bidi="ar"/>
        </w:rPr>
        <w:t>（三）考察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考察内容主要包括应聘人员政治思想、道德品质、能力素质、学习和工作表现、是否遵纪守法、廉洁自律等。考察时还须进一步核实应聘人员是否符合规定的应聘资格条件，报名信息和相关材料是否真实、准确。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在考察中发现下列情况之一者，不予聘用：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1.不能坚持党的基本路线，在重大政治问题上不能与党中央保持一致的；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2.不符合招聘岗位所需资格或条件的；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3.提供的个人应聘信息或材料不真实的；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4.存在违规、违纪、违法行为的；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5.涉嫌违法违纪正在接受纪检监察机构或者司法机关审查尚未作出结论的；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6.在公务员、事业单位公开招聘中被认定有舞弊等严重违反聘用纪律行为的或在年度考核中曾被确定为“不称职”、“不合格”的；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7.被依法列为失信联合惩戒对象的;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8.存在违反师德师风、学术不端行为的；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9.有吸毒史的；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10.现役军人、国家定向招录培养人员、与国家签订服务协议且未满服务期限的；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11.有关法律、法规规定不得录用的其他情形。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textAlignment w:val="baseline"/>
        <w:rPr>
          <w:rFonts w:hint="default" w:ascii="Helvetica" w:hAnsi="Helvetica" w:eastAsia="Helvetica" w:cs="Helvetica"/>
          <w:i w:val="0"/>
          <w:iCs w:val="0"/>
          <w:caps w:val="0"/>
          <w:spacing w:val="0"/>
          <w:sz w:val="21"/>
          <w:szCs w:val="21"/>
        </w:rPr>
      </w:pPr>
      <w:r>
        <w:rPr>
          <w:rFonts w:hint="default" w:ascii="楷体_GB2312" w:hAnsi="Helvetica" w:eastAsia="楷体_GB2312" w:cs="楷体_GB2312"/>
          <w:b/>
          <w:bCs/>
          <w:i w:val="0"/>
          <w:iCs w:val="0"/>
          <w:caps w:val="0"/>
          <w:spacing w:val="0"/>
          <w:kern w:val="0"/>
          <w:sz w:val="32"/>
          <w:szCs w:val="32"/>
          <w:vertAlign w:val="baseline"/>
          <w:lang w:val="en-US" w:eastAsia="zh-CN" w:bidi="ar"/>
        </w:rPr>
        <w:t>（四）公示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1.经面谈、体检、考察等合格的，确定为拟聘用人员，在“茅台学院官网”（www.mtxy.edu.cn）进行公示，公示时间不少于3个工作日，接受社会监督。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2.公示期间查实拟聘用人员存在严重问题影响聘用的，取消聘用资格；公示期间发现拟聘用人员可能存在严重问题但一时难以查实的，暂缓聘用，待查实并做出结论后再决定是否聘用。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3"/>
        <w:jc w:val="both"/>
        <w:textAlignment w:val="baseline"/>
        <w:rPr>
          <w:rFonts w:hint="default" w:ascii="Helvetica" w:hAnsi="Helvetica" w:eastAsia="Helvetica" w:cs="Helvetica"/>
          <w:i w:val="0"/>
          <w:iCs w:val="0"/>
          <w:caps w:val="0"/>
          <w:spacing w:val="0"/>
          <w:sz w:val="21"/>
          <w:szCs w:val="21"/>
        </w:rPr>
      </w:pPr>
      <w:r>
        <w:rPr>
          <w:rFonts w:hint="default" w:ascii="楷体_GB2312" w:hAnsi="Helvetica" w:eastAsia="楷体_GB2312" w:cs="楷体_GB2312"/>
          <w:b/>
          <w:bCs/>
          <w:i w:val="0"/>
          <w:iCs w:val="0"/>
          <w:caps w:val="0"/>
          <w:spacing w:val="0"/>
          <w:kern w:val="0"/>
          <w:sz w:val="32"/>
          <w:szCs w:val="32"/>
          <w:vertAlign w:val="baseline"/>
          <w:lang w:val="en-US" w:eastAsia="zh-CN" w:bidi="ar"/>
        </w:rPr>
        <w:t>（五）入职办理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公示期满后未有影响聘用情形的，或虽有其他情形，但经查实后决定予以聘用的，拟聘用人员须在规定时间内报到，按照国家相关规定签订合同；未在规定时间内报到的，取消聘用资格。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420"/>
        <w:jc w:val="both"/>
        <w:textAlignment w:val="baseline"/>
        <w:rPr>
          <w:rFonts w:hint="default" w:ascii="Helvetica" w:hAnsi="Helvetica" w:eastAsia="Helvetica" w:cs="Helvetica"/>
          <w:i w:val="0"/>
          <w:iCs w:val="0"/>
          <w:caps w:val="0"/>
          <w:spacing w:val="0"/>
          <w:sz w:val="21"/>
          <w:szCs w:val="21"/>
        </w:rPr>
      </w:pPr>
      <w:r>
        <w:rPr>
          <w:rFonts w:hint="default" w:ascii="Microsoft YaHei UI" w:hAnsi="Microsoft YaHei UI" w:eastAsia="Microsoft YaHei UI" w:cs="Microsoft YaHei UI"/>
          <w:i w:val="0"/>
          <w:iCs w:val="0"/>
          <w:caps w:val="0"/>
          <w:spacing w:val="8"/>
          <w:sz w:val="25"/>
          <w:szCs w:val="25"/>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638" w:right="0" w:firstLine="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咨询电话：0851--28797006(茅台学院人事处)；13765254917（蒋老师）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举报电话：0851--28797053（茅台学院纪委综合室）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both"/>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举报网址：http://guizhou.12388.gov.cn/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32"/>
        <w:jc w:val="both"/>
        <w:textAlignment w:val="baseline"/>
        <w:rPr>
          <w:rFonts w:hint="default" w:ascii="Helvetica" w:hAnsi="Helvetica" w:eastAsia="Helvetica" w:cs="Helvetica"/>
          <w:i w:val="0"/>
          <w:iCs w:val="0"/>
          <w:caps w:val="0"/>
          <w:spacing w:val="0"/>
          <w:sz w:val="21"/>
          <w:szCs w:val="21"/>
        </w:rPr>
      </w:pPr>
      <w:r>
        <w:rPr>
          <w:rFonts w:hint="default" w:ascii="Helvetica" w:hAnsi="Helvetica" w:eastAsia="Helvetica" w:cs="Helvetica"/>
          <w:i w:val="0"/>
          <w:iCs w:val="0"/>
          <w:caps w:val="0"/>
          <w:spacing w:val="0"/>
          <w:kern w:val="0"/>
          <w:sz w:val="21"/>
          <w:szCs w:val="21"/>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32"/>
        <w:jc w:val="both"/>
        <w:textAlignment w:val="baseline"/>
        <w:rPr>
          <w:rFonts w:hint="default" w:ascii="Helvetica" w:hAnsi="Helvetica" w:eastAsia="Helvetica" w:cs="Helvetica"/>
          <w:i w:val="0"/>
          <w:iCs w:val="0"/>
          <w:caps w:val="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center"/>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                         茅台学院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center"/>
        <w:textAlignment w:val="baseline"/>
        <w:rPr>
          <w:rFonts w:hint="default" w:ascii="Helvetica" w:hAnsi="Helvetica" w:eastAsia="Helvetica" w:cs="Helvetica"/>
          <w:i w:val="0"/>
          <w:iCs w:val="0"/>
          <w:caps w:val="0"/>
          <w:spacing w:val="0"/>
          <w:sz w:val="21"/>
          <w:szCs w:val="21"/>
        </w:rPr>
      </w:pPr>
      <w:r>
        <w:rPr>
          <w:rFonts w:hint="default" w:ascii="仿宋_GB2312" w:hAnsi="Helvetica" w:eastAsia="仿宋_GB2312" w:cs="仿宋_GB2312"/>
          <w:i w:val="0"/>
          <w:iCs w:val="0"/>
          <w:caps w:val="0"/>
          <w:spacing w:val="0"/>
          <w:kern w:val="0"/>
          <w:sz w:val="32"/>
          <w:szCs w:val="32"/>
          <w:vertAlign w:val="baseline"/>
          <w:lang w:val="en-US" w:eastAsia="zh-CN" w:bidi="ar"/>
        </w:rPr>
        <w:t>                         2023年4月20日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Microsoft YaHei UI">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VhNGUyNWRmNGE1YWIyYjJlOTUwNGM5NTlhZjUifQ=="/>
  </w:docVars>
  <w:rsids>
    <w:rsidRoot w:val="36097F34"/>
    <w:rsid w:val="36097F34"/>
    <w:rsid w:val="4CFB7288"/>
    <w:rsid w:val="6FC6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4822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2023-06-20T01:39:00Z</dcterms:created>
  <dc:creator>中研会务专用</dc:creator>
  <cp:lastModifiedBy>中研-会务专用</cp:lastModifiedBy>
  <dcterms:modified xsi:type="dcterms:W3CDTF">2023-07-19T01:24:49Z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E871D7FD8CAE4AB5BD90349802978815_11</vt:lpwstr>
  </property>
</Properties>
</file>