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textAlignment w:val="baseline"/>
        <w:rPr>
          <w:rFonts w:hint="default" w:ascii="Times New Roman" w:hAnsi="Times New Roman" w:eastAsia="sans-serif" w:cs="Times New Roman"/>
          <w:b/>
          <w:bCs/>
          <w:i w:val="0"/>
          <w:iCs w:val="0"/>
          <w:caps w:val="0"/>
          <w:color w:val="000000"/>
          <w:spacing w:val="0"/>
          <w:sz w:val="24"/>
          <w:szCs w:val="24"/>
          <w:shd w:val="clear" w:fill="FFFFFF"/>
          <w:vertAlign w:val="baseline"/>
        </w:rPr>
      </w:pPr>
      <w:r>
        <w:rPr>
          <w:rFonts w:hint="default" w:ascii="Times New Roman" w:hAnsi="Times New Roman" w:eastAsia="sans-serif" w:cs="Times New Roman"/>
          <w:b/>
          <w:bCs/>
          <w:i w:val="0"/>
          <w:iCs w:val="0"/>
          <w:caps w:val="0"/>
          <w:color w:val="000000"/>
          <w:spacing w:val="0"/>
          <w:sz w:val="24"/>
          <w:szCs w:val="24"/>
          <w:shd w:val="clear" w:fill="FFFFFF"/>
          <w:vertAlign w:val="baseline"/>
        </w:rPr>
        <w:t>中国医学科学院系统医学研究院/苏州系统医学研究所博士后招收启事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中国医学科学院系统医学研究院</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苏州系统医学研究所（以下简称“系统院”）地处长三角经济区中心腹地，素有天堂美誉的江苏省苏州市。系统院是由中国医学科学院北京协和医学院与江苏省、苏州市、苏州工业园区地方政府合作共建的新型研究机构，目前聚焦系统医学研究，以重大疾病防治关键瓶颈问题为重点，注重学科交叉融合，已建成高通量测序和高性能生物计算、免疫功能检测、动物实验、</w:t>
      </w:r>
      <w:r>
        <w:rPr>
          <w:rFonts w:hint="default" w:ascii="Times New Roman" w:hAnsi="Times New Roman" w:eastAsia="sans-serif" w:cs="Times New Roman"/>
          <w:i w:val="0"/>
          <w:iCs w:val="0"/>
          <w:caps w:val="0"/>
          <w:color w:val="000000"/>
          <w:spacing w:val="0"/>
          <w:sz w:val="21"/>
          <w:szCs w:val="21"/>
          <w:shd w:val="clear" w:fill="FFFFFF"/>
          <w:vertAlign w:val="baseline"/>
          <w:lang w:val="en-US"/>
        </w:rPr>
        <w:t>RNA</w:t>
      </w:r>
      <w:r>
        <w:rPr>
          <w:rFonts w:hint="default" w:ascii="Times New Roman" w:hAnsi="Times New Roman" w:eastAsia="sans-serif" w:cs="Times New Roman"/>
          <w:i w:val="0"/>
          <w:iCs w:val="0"/>
          <w:caps w:val="0"/>
          <w:color w:val="000000"/>
          <w:spacing w:val="0"/>
          <w:sz w:val="21"/>
          <w:szCs w:val="21"/>
          <w:shd w:val="clear" w:fill="FFFFFF"/>
          <w:vertAlign w:val="baseline"/>
        </w:rPr>
        <w:t>分析、生物安全二级实验室等技术平台，为生物医药产业提供技术服务支撑。系统院未来将聚焦疾病新机理开发治疗新手段，聚焦药物新靶点引领创新药物研发，聚焦新平台技术革新诊疗方法；重点打造生命组学、代谢、实验动物、化学生物学、分子影像、免疫学和大数据科学及人工智能等前沿平台，建设具有世界影响力的创新高地，助推苏州生物医药产业的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2021</w:t>
      </w:r>
      <w:r>
        <w:rPr>
          <w:rFonts w:hint="default" w:ascii="Times New Roman" w:hAnsi="Times New Roman" w:eastAsia="sans-serif" w:cs="Times New Roman"/>
          <w:i w:val="0"/>
          <w:iCs w:val="0"/>
          <w:caps w:val="0"/>
          <w:color w:val="000000"/>
          <w:spacing w:val="0"/>
          <w:sz w:val="21"/>
          <w:szCs w:val="21"/>
          <w:shd w:val="clear" w:fill="FFFFFF"/>
          <w:vertAlign w:val="baseline"/>
        </w:rPr>
        <w:t>年</w:t>
      </w: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月，中国医学科学院北京协和医学院与苏州市政府签署全面战略合作协议，充分发挥院校综合优势，依托系统院在苏州工业园区共建国家医学科技创新体系核心基地苏州基地，在科技创新、医疗提升、产业转化和教育培训等方面，与苏州展开深层次合作，共同打造国际一流的“研医产教”融合发展的创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r>
        <w:rPr>
          <w:rFonts w:hint="default" w:ascii="Times New Roman" w:hAnsi="Times New Roman" w:eastAsia="sans-serif" w:cs="Times New Roman"/>
          <w:i w:val="0"/>
          <w:iCs w:val="0"/>
          <w:caps w:val="0"/>
          <w:color w:val="000000"/>
          <w:spacing w:val="0"/>
          <w:sz w:val="21"/>
          <w:szCs w:val="21"/>
          <w:shd w:val="clear" w:fill="FFFFFF"/>
          <w:vertAlign w:val="baseline"/>
        </w:rPr>
        <w:t>为国家医学科技创新体系核心基地和世界一流医学院校建设提供强劲的人才保障，中国医学科学院北京协和医学院特设立协和青年学者计划和协和海外（含港澳台）青年学者计划。为吸引更多国内外优秀青年学者来（留）院校开展博士后科研工作，系统院依托北京协和医学院博士后流动站，诚邀国内外广大优秀博士毕业生加入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一、</w:t>
      </w:r>
      <w:r>
        <w:rPr>
          <w:rFonts w:hint="default" w:ascii="Times New Roman" w:hAnsi="Times New Roman" w:eastAsia="sans-serif" w:cs="Times New Roman"/>
          <w:b/>
          <w:bCs/>
          <w:i w:val="0"/>
          <w:iCs w:val="0"/>
          <w:caps w:val="0"/>
          <w:color w:val="000000"/>
          <w:spacing w:val="0"/>
          <w:sz w:val="21"/>
          <w:szCs w:val="21"/>
          <w:shd w:val="clear" w:fill="FFFFFF"/>
          <w:vertAlign w:val="baseline"/>
        </w:rPr>
        <w:t>博士后招聘计划</w:t>
      </w:r>
    </w:p>
    <w:tbl>
      <w:tblPr>
        <w:tblStyle w:val="3"/>
        <w:tblW w:w="9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62"/>
        <w:gridCol w:w="1279"/>
        <w:gridCol w:w="2825"/>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30" w:hRule="atLeast"/>
        </w:trPr>
        <w:tc>
          <w:tcPr>
            <w:tcW w:w="962"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博士后合作导师</w:t>
            </w:r>
          </w:p>
        </w:tc>
        <w:tc>
          <w:tcPr>
            <w:tcW w:w="1279"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学科方向</w:t>
            </w:r>
          </w:p>
        </w:tc>
        <w:tc>
          <w:tcPr>
            <w:tcW w:w="282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专业要求</w:t>
            </w:r>
          </w:p>
        </w:tc>
        <w:tc>
          <w:tcPr>
            <w:tcW w:w="464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导师邮箱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陈东升</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生物信息学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生物信息学、免疫学、细胞生物学、分子生物学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dschen2016</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顾志敏</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肿瘤/血液肿瘤、表观遗传学、代谢组学、分子生物学、生物信息学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zhimingulab</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郭欣政</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神经生物学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分子生物学、细胞生物学、病毒学、眼科学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gxz</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ism.pumc.edu.cn</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何苏丹</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细胞生物学、生物化学与分子生物学、免疫学、肿瘤学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hesudan2018</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李贵登</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免疫学、计算生物学、细胞分子生物学、病毒学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guidengl_ism</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林伟林</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生物或化学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有机化学、药物化学、多肽化学、生物化学、结构生物学、计算机模拟分子对接</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rPr>
              <w:t>weilin_lin</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马烽</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免疫学、病毒学、生物化学和分子生物学，对合成生物学感兴趣</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mafeng_2016</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马瑜婷</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肿瘤免疫学、神经生物学、微生物学、代谢组学、生物信息学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yuting_ma1984</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单强</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分子免疫学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免疫学、分子生物学、肿瘤学、生物信息学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rPr>
              <w:t>sqhnsd</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126.com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王林</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肿瘤基因组学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生物信息学，肿瘤组学，肿瘤生物学，肿瘤免疫学，计算机学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rPr>
              <w:t>CancerGenomics01</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吴爱平</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生物物理学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免疫信息学、生物医学、进化生物学、病毒学、人工智能、计算科学、传染病信息学、多组学整合</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wuaiping</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aliyun.com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薛刚</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免疫学、肿瘤学、生物材料学、生物信息学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gxue187</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张连军</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免疫学、计算生物学、表观遗传、代谢组学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zhanglianjun_ismsz</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3"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张为国</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免疫学、分子生物学、生物化学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wzhang033</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张晓辉</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分子进化、生物信息、基因编辑、动物模型、结构生物学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baseediting1111</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周卓</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病原生物学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生物化学与分子生物学、细胞生物学、病毒学、免疫学、基因组学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zhouzhuo</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年龄不超过</w:t>
      </w:r>
      <w:r>
        <w:rPr>
          <w:rFonts w:hint="default" w:ascii="Times New Roman" w:hAnsi="Times New Roman" w:eastAsia="sans-serif" w:cs="Times New Roman"/>
          <w:i w:val="0"/>
          <w:iCs w:val="0"/>
          <w:caps w:val="0"/>
          <w:color w:val="000000"/>
          <w:spacing w:val="0"/>
          <w:sz w:val="21"/>
          <w:szCs w:val="21"/>
          <w:shd w:val="clear" w:fill="FFFFFF"/>
          <w:vertAlign w:val="baseline"/>
          <w:lang w:val="en-US"/>
        </w:rPr>
        <w:t>35</w:t>
      </w:r>
      <w:r>
        <w:rPr>
          <w:rFonts w:hint="default" w:ascii="Times New Roman" w:hAnsi="Times New Roman" w:eastAsia="sans-serif" w:cs="Times New Roman"/>
          <w:i w:val="0"/>
          <w:iCs w:val="0"/>
          <w:caps w:val="0"/>
          <w:color w:val="000000"/>
          <w:spacing w:val="0"/>
          <w:sz w:val="21"/>
          <w:szCs w:val="21"/>
          <w:shd w:val="clear" w:fill="FFFFFF"/>
          <w:vertAlign w:val="baseline"/>
        </w:rPr>
        <w:t>周岁，取得相关领域博士学位。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三、待遇支持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1</w:t>
      </w:r>
      <w:r>
        <w:rPr>
          <w:rFonts w:hint="default" w:ascii="Times New Roman" w:hAnsi="Times New Roman" w:eastAsia="sans-serif" w:cs="Times New Roman"/>
          <w:i w:val="0"/>
          <w:iCs w:val="0"/>
          <w:caps w:val="0"/>
          <w:color w:val="000000"/>
          <w:spacing w:val="0"/>
          <w:sz w:val="21"/>
          <w:szCs w:val="21"/>
          <w:shd w:val="clear" w:fill="FFFFFF"/>
          <w:vertAlign w:val="baseline"/>
        </w:rPr>
        <w:t>、给予协和青年学者不低于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40</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年支持；给予协和海外（含港澳台）青年学者不低于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50</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年支持。获国家及各级地方政府人才项目还可享受累加支持；根据博士后出站评审结果再给予后激励。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、可纳入中国医学科学院北京协和医学院医学健康科技创新工程岗位支持。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、在站满</w:t>
      </w: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年可申请卫健委副高级专业技术资格评审。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、优秀博士后出站，且满足院校准聘长聘系列教职聘任条件者，可申请助理教授（独立</w:t>
      </w:r>
      <w:r>
        <w:rPr>
          <w:rFonts w:hint="default" w:ascii="Times New Roman" w:hAnsi="Times New Roman" w:eastAsia="sans-serif" w:cs="Times New Roman"/>
          <w:i w:val="0"/>
          <w:iCs w:val="0"/>
          <w:caps w:val="0"/>
          <w:color w:val="000000"/>
          <w:spacing w:val="0"/>
          <w:sz w:val="21"/>
          <w:szCs w:val="21"/>
          <w:shd w:val="clear" w:fill="FFFFFF"/>
          <w:vertAlign w:val="baseline"/>
          <w:lang w:val="en-US"/>
        </w:rPr>
        <w:t>PI</w:t>
      </w:r>
      <w:r>
        <w:rPr>
          <w:rFonts w:hint="default" w:ascii="Times New Roman" w:hAnsi="Times New Roman" w:eastAsia="sans-serif" w:cs="Times New Roman"/>
          <w:i w:val="0"/>
          <w:iCs w:val="0"/>
          <w:caps w:val="0"/>
          <w:color w:val="000000"/>
          <w:spacing w:val="0"/>
          <w:sz w:val="21"/>
          <w:szCs w:val="21"/>
          <w:shd w:val="clear" w:fill="FFFFFF"/>
          <w:vertAlign w:val="baseline"/>
        </w:rPr>
        <w:t>）岗位；成绩特别突出者，可直接申请准聘副教授岗位（相关信息可查阅系统院引进相关招聘）。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5</w:t>
      </w:r>
      <w:r>
        <w:rPr>
          <w:rFonts w:hint="default" w:ascii="Times New Roman" w:hAnsi="Times New Roman" w:eastAsia="sans-serif" w:cs="Times New Roman"/>
          <w:i w:val="0"/>
          <w:iCs w:val="0"/>
          <w:caps w:val="0"/>
          <w:color w:val="000000"/>
          <w:spacing w:val="0"/>
          <w:sz w:val="21"/>
          <w:szCs w:val="21"/>
          <w:shd w:val="clear" w:fill="FFFFFF"/>
          <w:vertAlign w:val="baseline"/>
        </w:rPr>
        <w:t>、支持聘期内申请国家自然科学基金与省、市资助的各级课题，以及各类博士后基金和项目。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补充说明：未进入上述计划支持的博士后， 给予不低于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18</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年支持，具体面谈。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四、工作程序</w:t>
      </w:r>
      <w:r>
        <w:rPr>
          <w:rFonts w:hint="default" w:ascii="Times New Roman" w:hAnsi="Times New Roman" w:eastAsia="sans-serif" w:cs="Times New Roman"/>
          <w:i w:val="0"/>
          <w:iCs w:val="0"/>
          <w:caps w:val="0"/>
          <w:color w:val="000000"/>
          <w:spacing w:val="0"/>
          <w:sz w:val="21"/>
          <w:szCs w:val="21"/>
          <w:shd w:val="clear" w:fill="FFFFFF"/>
          <w:vertAlign w:val="baseline"/>
        </w:rPr>
        <w:br w:type="textWrapping"/>
      </w:r>
      <w:r>
        <w:rPr>
          <w:rFonts w:hint="default" w:ascii="Times New Roman" w:hAnsi="Times New Roman" w:eastAsia="sans-serif" w:cs="Times New Roman"/>
          <w:i w:val="0"/>
          <w:iCs w:val="0"/>
          <w:caps w:val="0"/>
          <w:color w:val="000000"/>
          <w:spacing w:val="0"/>
          <w:sz w:val="21"/>
          <w:szCs w:val="21"/>
          <w:shd w:val="clear" w:fill="FFFFFF"/>
          <w:vertAlign w:val="baseline"/>
          <w:lang w:val="en-US"/>
        </w:rPr>
        <w:t>       1</w:t>
      </w:r>
      <w:r>
        <w:rPr>
          <w:rFonts w:hint="default" w:ascii="Times New Roman" w:hAnsi="Times New Roman" w:eastAsia="sans-serif" w:cs="Times New Roman"/>
          <w:i w:val="0"/>
          <w:iCs w:val="0"/>
          <w:caps w:val="0"/>
          <w:color w:val="000000"/>
          <w:spacing w:val="0"/>
          <w:sz w:val="21"/>
          <w:szCs w:val="21"/>
          <w:shd w:val="clear" w:fill="FFFFFF"/>
          <w:vertAlign w:val="baseline"/>
        </w:rPr>
        <w:t>、个人申请：申请人请个人简历及有关证明材料投递至意向合作导师的邮箱并抄送</w: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instrText xml:space="preserve"> HYPERLINK "mailto:hr@ism.cams.cn,yyetwrcb@126.com" </w:instrTex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t>hr</w:t>
      </w:r>
      <w:r>
        <w:rPr>
          <w:rStyle w:val="6"/>
          <w:rFonts w:hint="default" w:ascii="Times New Roman" w:hAnsi="Times New Roman" w:eastAsia="宋体" w:cs="Times New Roman"/>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Style w:val="6"/>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t>ism.cams.cn</w:t>
      </w:r>
      <w:r>
        <w:rPr>
          <w:rStyle w:val="6"/>
          <w:rFonts w:hint="default" w:ascii="Times New Roman" w:hAnsi="Times New Roman" w:eastAsia="宋体" w:cs="Times New Roman"/>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Style w:val="6"/>
          <w:rFonts w:hint="eastAsia" w:ascii="Times New Roman" w:hAnsi="Times New Roman" w:eastAsia="宋体" w:cs="Times New Roman"/>
          <w:color w:val="000000" w:themeColor="text1"/>
          <w:sz w:val="21"/>
          <w:szCs w:val="21"/>
          <w:lang w:eastAsia="zh-CN"/>
          <w14:textFill>
            <w14:solidFill>
              <w14:schemeClr w14:val="tx1"/>
            </w14:solidFill>
          </w14:textFill>
        </w:rPr>
        <w:t>wtsxrsc@126.com</w: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t>；邮件主题：博士后申请</w: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t>合作导师姓名。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、入站面试考核：经合作导师确定的意向人选，经系统院评审后申请参加院校“协和青年学者”和“协和海外（含港澳台）青年学者”评选。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、办理入站手续：考核合格的人选登录“中国博士后网站”注册，并按要求申请入站。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联系人：人力资源部金老师、曲老师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cs="Times New Roman"/>
          <w:color w:val="000000" w:themeColor="text1"/>
          <w:sz w:val="21"/>
          <w:szCs w:val="21"/>
          <w:u w:val="none"/>
          <w14:textFill>
            <w14:solidFill>
              <w14:schemeClr w14:val="tx1"/>
            </w14:solidFill>
          </w14:textFill>
        </w:rPr>
      </w:pPr>
      <w:bookmarkStart w:id="0" w:name="_GoBack"/>
      <w:bookmarkEnd w:id="0"/>
      <w:r>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t>邮箱：</w: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instrText xml:space="preserve"> HYPERLINK "mailto:hr@ism.cams.cn,yyetwrcb@126.com" </w:instrTex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t>hr</w:t>
      </w:r>
      <w:r>
        <w:rPr>
          <w:rStyle w:val="6"/>
          <w:rFonts w:hint="default" w:ascii="Times New Roman" w:hAnsi="Times New Roman" w:eastAsia="宋体" w:cs="Times New Roman"/>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Style w:val="6"/>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t>ism.cams.cn</w:t>
      </w:r>
      <w:r>
        <w:rPr>
          <w:rStyle w:val="6"/>
          <w:rFonts w:hint="default" w:ascii="Times New Roman" w:hAnsi="Times New Roman" w:eastAsia="宋体" w:cs="Times New Roman"/>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Style w:val="6"/>
          <w:rFonts w:hint="eastAsia" w:ascii="Times New Roman" w:hAnsi="Times New Roman" w:eastAsia="宋体" w:cs="Times New Roman"/>
          <w:color w:val="000000" w:themeColor="text1"/>
          <w:sz w:val="21"/>
          <w:szCs w:val="21"/>
          <w:lang w:eastAsia="zh-CN"/>
          <w14:textFill>
            <w14:solidFill>
              <w14:schemeClr w14:val="tx1"/>
            </w14:solidFill>
          </w14:textFill>
        </w:rPr>
        <w:t>wtsxrsc@126.com</w: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t>邮件主题：博士后申请</w: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t>合作导师姓名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t>地  址：江苏省苏州工业园区崇文路</w:t>
      </w:r>
      <w:r>
        <w:rPr>
          <w:rFonts w:hint="default" w:ascii="Times New Roman" w:hAnsi="Times New Roman" w:eastAsia="sans-serif" w:cs="Times New Roman"/>
          <w:i w:val="0"/>
          <w:iCs w:val="0"/>
          <w:caps w:val="0"/>
          <w:color w:val="000000" w:themeColor="text1"/>
          <w:spacing w:val="0"/>
          <w:sz w:val="21"/>
          <w:szCs w:val="21"/>
          <w:shd w:val="clear" w:fill="FFFFFF"/>
          <w:vertAlign w:val="baseline"/>
          <w:lang w:val="en-US"/>
          <w14:textFill>
            <w14:solidFill>
              <w14:schemeClr w14:val="tx1"/>
            </w14:solidFill>
          </w14:textFill>
        </w:rPr>
        <w:t>100</w:t>
      </w:r>
      <w:r>
        <w:rPr>
          <w:rFonts w:hint="default" w:ascii="Times New Roman" w:hAnsi="Times New Roman" w:eastAsia="sans-serif" w:cs="Times New Roman"/>
          <w:i w:val="0"/>
          <w:iCs w:val="0"/>
          <w:caps w:val="0"/>
          <w:color w:val="000000" w:themeColor="text1"/>
          <w:spacing w:val="0"/>
          <w:sz w:val="21"/>
          <w:szCs w:val="21"/>
          <w:shd w:val="clear" w:fill="FFFFFF"/>
          <w:vertAlign w:val="baseline"/>
          <w14:textFill>
            <w14:solidFill>
              <w14:schemeClr w14:val="tx1"/>
            </w14:solidFill>
          </w14:textFill>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p>
    <w:p>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9FF4D2C"/>
    <w:rsid w:val="0A344626"/>
    <w:rsid w:val="18D13A93"/>
    <w:rsid w:val="254F6B7D"/>
    <w:rsid w:val="2A182773"/>
    <w:rsid w:val="2AE02438"/>
    <w:rsid w:val="35507C3B"/>
    <w:rsid w:val="397F03DA"/>
    <w:rsid w:val="3A3B679F"/>
    <w:rsid w:val="45BC4EF4"/>
    <w:rsid w:val="4CA14AB4"/>
    <w:rsid w:val="50FC798F"/>
    <w:rsid w:val="5C5D13AB"/>
    <w:rsid w:val="5C955C1F"/>
    <w:rsid w:val="61E20EF5"/>
    <w:rsid w:val="6984620B"/>
    <w:rsid w:val="6C6121CE"/>
    <w:rsid w:val="749A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2022-09-22T09:48:00Z</dcterms:created>
  <dc:creator>win10</dc:creator>
  <cp:lastModifiedBy>win10</cp:lastModifiedBy>
  <dcterms:modified xsi:type="dcterms:W3CDTF">2023-12-13T07:32:54Z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FEBF68D9A04C43B3AE5C8526E5A2AF4E</vt:lpwstr>
  </property>
</Properties>
</file>