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浙大宁波理工学院202</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4</w:t>
      </w:r>
      <w:bookmarkStart w:id="0" w:name="_GoBack"/>
      <w:bookmarkEnd w:id="0"/>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年高层次人才招聘公告</w:t>
      </w:r>
    </w:p>
    <w:p>
      <w:pPr>
        <w:numPr>
          <w:ilvl w:val="255"/>
          <w:numId w:val="0"/>
        </w:numPr>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一、学校简介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浙大宁波理工学院坐落于“书藏古今、港通天下”的历史文化名城、国际港口城市——浙江省宁波市。学校前身为浙江大学宁波理工学院，成立于2001年6月；2020年，经教育部批准转设为“</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浙江省管理、宁波市举办、浙江大学支持”的公办普通本科高校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办学20年来，学校弘扬浙江大学“求是创新”精神和浙东学术文化精髓，走内涵建设道路，实现跨越式发展。2013至2019年，连续7年位居国内同类院校排行榜第一名，近两年位列软科中国大学排行榜主榜全国第251位、256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学校现有教职工980余人，其中：两院院士3名，各类市级以上人才工程人选237名，研究生导师和博士生导师187人，在校本科生1万余人，研究生近300人，形成以本科教育为主，研究生教育、继续教育相辅的完整教育体系。学校现有11个学院，省部级及以上学科专业平台32个，建有浙江省博士后工作站。</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形成以工科为主，理、文、法、经等相互支持、协调发展的学科专业体系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。学校现有各类联合研究机构30个，</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形成立足区域、面向全国，政、产、学、研相结合的社会服务体系。</w:t>
      </w:r>
      <w:r>
        <w:rPr>
          <w:rFonts w:hint="default" w:ascii="仿宋" w:hAnsi="仿宋" w:eastAsia="仿宋" w:cs="仿宋"/>
          <w:color w:val="000000" w:themeColor="text1"/>
          <w:sz w:val="32"/>
          <w:szCs w:val="32"/>
          <w:vertAlign w:val="baseline"/>
          <w:lang w:eastAsia="zh-CN"/>
          <w14:textFill>
            <w14:solidFill>
              <w14:schemeClr w14:val="tx1"/>
            </w14:solidFill>
          </w14:textFill>
        </w:rPr>
        <w:t>转设后年均外源科研到款经费突破亿元大关，年均增长率达18.5%</w:t>
      </w:r>
      <w:r>
        <w:rPr>
          <w:rFonts w:hint="eastAsia" w:ascii="仿宋" w:hAnsi="仿宋" w:eastAsia="仿宋" w:cs="仿宋"/>
          <w:color w:val="000000" w:themeColor="text1"/>
          <w:sz w:val="32"/>
          <w:szCs w:val="32"/>
          <w:vertAlign w:val="baseline"/>
          <w:lang w:val="en-US"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当前，学校按照“立足宁波、依托浙大、放眼全球”发展思路，全面建设“省内一流，全国百强”高水平创新性应用型大学，全方位提高办学层次和办学水平。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浙大宁波理工学院热忱欢迎海内外优秀人才加盟，携手事业发展，共创美好未来。</w:t>
      </w:r>
    </w:p>
    <w:p>
      <w:pPr>
        <w:numPr>
          <w:ilvl w:val="0"/>
          <w:numId w:val="1"/>
        </w:numPr>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引进人才的基本要求</w:t>
      </w:r>
    </w:p>
    <w:p>
      <w:pPr>
        <w:numPr>
          <w:ilvl w:val="255"/>
          <w:numId w:val="0"/>
        </w:numPr>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热爱教育事业，理想信念坚定，师德高尚，学风正派，治学严谨，具有良好的合作精神，身心健康，全职到岗工作。</w:t>
      </w:r>
    </w:p>
    <w:p>
      <w:pPr>
        <w:numPr>
          <w:ilvl w:val="0"/>
          <w:numId w:val="1"/>
        </w:numPr>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人才引进类别及引进条件</w:t>
      </w:r>
    </w:p>
    <w:tbl>
      <w:tblPr>
        <w:tblStyle w:val="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69"/>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148" w:type="dxa"/>
            <w:gridSpan w:val="2"/>
            <w:shd w:val="clear" w:color="auto" w:fill="DEEBF6" w:themeFill="accent1" w:themeFillTint="32"/>
            <w:vAlign w:val="center"/>
          </w:tcPr>
          <w:p>
            <w:pPr>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人才类别</w:t>
            </w:r>
          </w:p>
        </w:tc>
        <w:tc>
          <w:tcPr>
            <w:tcW w:w="7334" w:type="dxa"/>
            <w:shd w:val="clear" w:color="auto" w:fill="DEEBF6" w:themeFill="accent1" w:themeFillTint="32"/>
            <w:vAlign w:val="center"/>
          </w:tcPr>
          <w:p>
            <w:pPr>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引进条件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9" w:type="dxa"/>
            <w:vMerge w:val="restart"/>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顶尖人才</w:t>
            </w:r>
          </w:p>
        </w:tc>
        <w:tc>
          <w:tcPr>
            <w:tcW w:w="1369" w:type="dxa"/>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Ⅰ</w:t>
            </w:r>
            <w:r>
              <w:rPr>
                <w:rFonts w:hint="eastAsia" w:ascii="宋体" w:hAnsi="宋体" w:eastAsia="宋体" w:cs="宋体"/>
                <w:color w:val="000000" w:themeColor="text1"/>
                <w:kern w:val="0"/>
                <w:sz w:val="24"/>
                <w14:textFill>
                  <w14:solidFill>
                    <w14:schemeClr w14:val="tx1"/>
                  </w14:solidFill>
                </w14:textFill>
              </w:rPr>
              <w:t>类</w:t>
            </w:r>
          </w:p>
        </w:tc>
        <w:tc>
          <w:tcPr>
            <w:tcW w:w="7334" w:type="dxa"/>
            <w:vMerge w:val="restart"/>
            <w:vAlign w:val="center"/>
          </w:tcPr>
          <w:p>
            <w:pPr>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在相关领域取得系统性、创造性成就，做出重大贡献，具有广泛的国际学术影响力，例如国际著名大奖获得者、发达国家院士或具有相当水平的海内外顶尖学者。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79"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369" w:type="dxa"/>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Ⅱ</w:t>
            </w:r>
            <w:r>
              <w:rPr>
                <w:rFonts w:hint="eastAsia" w:ascii="宋体" w:hAnsi="宋体" w:eastAsia="宋体" w:cs="宋体"/>
                <w:color w:val="000000" w:themeColor="text1"/>
                <w:kern w:val="0"/>
                <w:sz w:val="24"/>
                <w14:textFill>
                  <w14:solidFill>
                    <w14:schemeClr w14:val="tx1"/>
                  </w14:solidFill>
                </w14:textFill>
              </w:rPr>
              <w:t>类</w:t>
            </w:r>
          </w:p>
        </w:tc>
        <w:tc>
          <w:tcPr>
            <w:tcW w:w="7334" w:type="dxa"/>
            <w:vMerge w:val="continue"/>
            <w:vAlign w:val="center"/>
          </w:tcPr>
          <w:p>
            <w:pPr>
              <w:jc w:val="left"/>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9" w:type="dxa"/>
            <w:vMerge w:val="restart"/>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学术领军人才</w:t>
            </w:r>
          </w:p>
        </w:tc>
        <w:tc>
          <w:tcPr>
            <w:tcW w:w="1369" w:type="dxa"/>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Ⅰ</w:t>
            </w:r>
            <w:r>
              <w:rPr>
                <w:rFonts w:hint="eastAsia" w:ascii="宋体" w:hAnsi="宋体" w:eastAsia="宋体" w:cs="宋体"/>
                <w:color w:val="000000" w:themeColor="text1"/>
                <w:kern w:val="0"/>
                <w:sz w:val="24"/>
                <w14:textFill>
                  <w14:solidFill>
                    <w14:schemeClr w14:val="tx1"/>
                  </w14:solidFill>
                </w14:textFill>
              </w:rPr>
              <w:t>类</w:t>
            </w:r>
          </w:p>
        </w:tc>
        <w:tc>
          <w:tcPr>
            <w:tcW w:w="7334" w:type="dxa"/>
            <w:vMerge w:val="restart"/>
            <w:vAlign w:val="center"/>
          </w:tcPr>
          <w:p>
            <w:pPr>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原则上应担任海内外高水平大学教授或相当职务；在同行中具有广泛影响力，能够带领本学科引领或赶超国际先进水平；具有较强的团队精神和相应的组织、管理能力。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9"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369" w:type="dxa"/>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Ⅱ</w:t>
            </w:r>
            <w:r>
              <w:rPr>
                <w:rFonts w:hint="eastAsia" w:ascii="宋体" w:hAnsi="宋体" w:eastAsia="宋体" w:cs="宋体"/>
                <w:color w:val="000000" w:themeColor="text1"/>
                <w:kern w:val="0"/>
                <w:sz w:val="24"/>
                <w14:textFill>
                  <w14:solidFill>
                    <w14:schemeClr w14:val="tx1"/>
                  </w14:solidFill>
                </w14:textFill>
              </w:rPr>
              <w:t>类</w:t>
            </w:r>
          </w:p>
        </w:tc>
        <w:tc>
          <w:tcPr>
            <w:tcW w:w="7334"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79" w:type="dxa"/>
            <w:vMerge w:val="restart"/>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学术骨干</w:t>
            </w:r>
          </w:p>
        </w:tc>
        <w:tc>
          <w:tcPr>
            <w:tcW w:w="1369" w:type="dxa"/>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Ⅰ</w:t>
            </w:r>
            <w:r>
              <w:rPr>
                <w:rFonts w:hint="eastAsia" w:ascii="宋体" w:hAnsi="宋体" w:eastAsia="宋体" w:cs="宋体"/>
                <w:color w:val="000000" w:themeColor="text1"/>
                <w:kern w:val="0"/>
                <w:sz w:val="24"/>
                <w14:textFill>
                  <w14:solidFill>
                    <w14:schemeClr w14:val="tx1"/>
                  </w14:solidFill>
                </w14:textFill>
              </w:rPr>
              <w:t>类</w:t>
            </w:r>
          </w:p>
        </w:tc>
        <w:tc>
          <w:tcPr>
            <w:tcW w:w="7334" w:type="dxa"/>
            <w:vAlign w:val="center"/>
          </w:tcPr>
          <w:p>
            <w:pPr>
              <w:jc w:val="left"/>
              <w:rPr>
                <w:rFonts w:hint="default"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正高（具有国内建设高校相当学术水平人才）；或近5年主持国家级项目或在学科领域发表重要文章或取得重要学术成果奖励（省部级奖项）或取得相当水平的业绩成果，年龄在50周岁以下</w:t>
            </w:r>
            <w:r>
              <w:rPr>
                <w:rFonts w:hint="default" w:ascii="宋体" w:hAnsi="宋体" w:eastAsia="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9"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369" w:type="dxa"/>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Ⅱ</w:t>
            </w:r>
            <w:r>
              <w:rPr>
                <w:rFonts w:hint="eastAsia" w:ascii="宋体" w:hAnsi="宋体" w:eastAsia="宋体" w:cs="宋体"/>
                <w:color w:val="000000" w:themeColor="text1"/>
                <w:kern w:val="0"/>
                <w:sz w:val="24"/>
                <w14:textFill>
                  <w14:solidFill>
                    <w14:schemeClr w14:val="tx1"/>
                  </w14:solidFill>
                </w14:textFill>
              </w:rPr>
              <w:t>类</w:t>
            </w:r>
          </w:p>
        </w:tc>
        <w:tc>
          <w:tcPr>
            <w:tcW w:w="7334" w:type="dxa"/>
            <w:vAlign w:val="center"/>
          </w:tcPr>
          <w:p>
            <w:pPr>
              <w:jc w:val="left"/>
              <w:rPr>
                <w:rFonts w:hint="default"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副高且近5年教科研业绩达到所在学科副教授中上水平，年龄在40周岁以下</w:t>
            </w:r>
            <w:r>
              <w:rPr>
                <w:rFonts w:hint="default" w:ascii="宋体" w:hAnsi="宋体" w:eastAsia="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9"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369"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Ⅲ</w:t>
            </w:r>
            <w:r>
              <w:rPr>
                <w:rFonts w:hint="eastAsia" w:ascii="宋体" w:hAnsi="宋体" w:eastAsia="宋体" w:cs="宋体"/>
                <w:color w:val="000000" w:themeColor="text1"/>
                <w:kern w:val="0"/>
                <w:sz w:val="24"/>
                <w14:textFill>
                  <w14:solidFill>
                    <w14:schemeClr w14:val="tx1"/>
                  </w14:solidFill>
                </w14:textFill>
              </w:rPr>
              <w:t>类</w:t>
            </w:r>
          </w:p>
        </w:tc>
        <w:tc>
          <w:tcPr>
            <w:tcW w:w="7334" w:type="dxa"/>
            <w:vAlign w:val="center"/>
          </w:tcPr>
          <w:p>
            <w:pPr>
              <w:jc w:val="left"/>
              <w:rPr>
                <w:rFonts w:hint="default"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海内外优秀博士，年龄不超过30周岁，有博士后经历的年龄可放宽至32周岁，且入选学校“竺园青年”支持计划</w:t>
            </w:r>
            <w:r>
              <w:rPr>
                <w:rFonts w:hint="default" w:ascii="宋体" w:hAnsi="宋体" w:eastAsia="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9"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369"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Ⅳ</w:t>
            </w:r>
            <w:r>
              <w:rPr>
                <w:rFonts w:hint="eastAsia" w:ascii="宋体" w:hAnsi="宋体" w:eastAsia="宋体" w:cs="宋体"/>
                <w:color w:val="000000" w:themeColor="text1"/>
                <w:kern w:val="0"/>
                <w:sz w:val="24"/>
                <w14:textFill>
                  <w14:solidFill>
                    <w14:schemeClr w14:val="tx1"/>
                  </w14:solidFill>
                </w14:textFill>
              </w:rPr>
              <w:t>类</w:t>
            </w:r>
          </w:p>
        </w:tc>
        <w:tc>
          <w:tcPr>
            <w:tcW w:w="7334" w:type="dxa"/>
            <w:vAlign w:val="center"/>
          </w:tcPr>
          <w:p>
            <w:pPr>
              <w:jc w:val="left"/>
              <w:rPr>
                <w:rFonts w:hint="default"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博士研究生</w:t>
            </w:r>
            <w:r>
              <w:rPr>
                <w:rFonts w:hint="default" w:ascii="宋体" w:hAnsi="宋体" w:eastAsia="宋体" w:cs="宋体"/>
                <w:color w:val="000000" w:themeColor="text1"/>
                <w:sz w:val="24"/>
                <w14:textFill>
                  <w14:solidFill>
                    <w14:schemeClr w14:val="tx1"/>
                  </w14:solidFill>
                </w14:textFill>
              </w:rPr>
              <w:t>。</w:t>
            </w:r>
          </w:p>
        </w:tc>
      </w:tr>
    </w:tbl>
    <w:p>
      <w:pPr>
        <w:numPr>
          <w:ilvl w:val="255"/>
          <w:numId w:val="0"/>
        </w:numPr>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四、招聘岗位</w:t>
      </w:r>
    </w:p>
    <w:p>
      <w:pPr>
        <w:ind w:firstLine="560" w:firstLineChars="200"/>
        <w:rPr>
          <w:rFonts w:hint="default"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附件1</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 和附件2</w:t>
      </w:r>
    </w:p>
    <w:p>
      <w:pPr>
        <w:widowControl/>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五、人才引进待遇</w:t>
      </w:r>
    </w:p>
    <w:p>
      <w:pPr>
        <w:numPr>
          <w:ilvl w:val="0"/>
          <w:numId w:val="2"/>
        </w:numPr>
        <w:spacing w:line="360" w:lineRule="auto"/>
        <w:jc w:val="left"/>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提供宁波市事业编制岗位。</w:t>
      </w:r>
    </w:p>
    <w:p>
      <w:pPr>
        <w:numPr>
          <w:ilvl w:val="0"/>
          <w:numId w:val="2"/>
        </w:numPr>
        <w:spacing w:line="360" w:lineRule="auto"/>
        <w:jc w:val="left"/>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提供长三角地区具有行业竞争力的薪酬待遇；根据个人情况可获得宁波市安家费、购房补贴和学校提供的购房补贴、科研启动费等，总额不低于100万</w:t>
      </w:r>
      <w:r>
        <w:rPr>
          <w:rFonts w:hint="default" w:ascii="仿宋" w:hAnsi="仿宋" w:eastAsia="仿宋" w:cs="仿宋_GB2312"/>
          <w:color w:val="000000" w:themeColor="text1"/>
          <w:sz w:val="28"/>
          <w:szCs w:val="28"/>
          <w14:textFill>
            <w14:solidFill>
              <w14:schemeClr w14:val="tx1"/>
            </w14:solidFill>
          </w14:textFill>
        </w:rPr>
        <w:t>元</w:t>
      </w:r>
      <w:r>
        <w:rPr>
          <w:rFonts w:hint="eastAsia" w:ascii="仿宋" w:hAnsi="仿宋" w:eastAsia="仿宋" w:cs="仿宋_GB2312"/>
          <w:color w:val="000000" w:themeColor="text1"/>
          <w:sz w:val="28"/>
          <w:szCs w:val="28"/>
          <w14:textFill>
            <w14:solidFill>
              <w14:schemeClr w14:val="tx1"/>
            </w14:solidFill>
          </w14:textFill>
        </w:rPr>
        <w:t>，详见《高层次人才引进待遇表》；对于紧缺学科或特别情况的，待遇可面议。待遇均为税前，扣税政策按宁波市有关规定执行。</w:t>
      </w:r>
    </w:p>
    <w:p>
      <w:pPr>
        <w:numPr>
          <w:ilvl w:val="0"/>
          <w:numId w:val="2"/>
        </w:numPr>
        <w:spacing w:line="360" w:lineRule="auto"/>
        <w:jc w:val="left"/>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学术骨干III类</w:t>
      </w:r>
      <w:r>
        <w:rPr>
          <w:rFonts w:hint="eastAsia" w:ascii="仿宋" w:hAnsi="仿宋" w:eastAsia="仿宋" w:cs="仿宋_GB2312"/>
          <w:color w:val="000000" w:themeColor="text1"/>
          <w:sz w:val="28"/>
          <w:szCs w:val="28"/>
          <w14:textFill>
            <w14:solidFill>
              <w14:schemeClr w14:val="tx1"/>
            </w14:solidFill>
          </w14:textFill>
        </w:rPr>
        <w:t>人才，入选</w:t>
      </w:r>
      <w:r>
        <w:rPr>
          <w:rFonts w:ascii="仿宋" w:hAnsi="仿宋" w:eastAsia="仿宋" w:cs="仿宋_GB2312"/>
          <w:color w:val="000000" w:themeColor="text1"/>
          <w:sz w:val="28"/>
          <w:szCs w:val="28"/>
          <w14:textFill>
            <w14:solidFill>
              <w14:schemeClr w14:val="tx1"/>
            </w14:solidFill>
          </w14:textFill>
        </w:rPr>
        <w:t>校内</w:t>
      </w: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竺园学者</w:t>
      </w: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培养计划</w:t>
      </w:r>
      <w:r>
        <w:rPr>
          <w:rFonts w:hint="eastAsia" w:ascii="仿宋" w:hAnsi="仿宋" w:eastAsia="仿宋" w:cs="仿宋_GB2312"/>
          <w:color w:val="000000" w:themeColor="text1"/>
          <w:sz w:val="28"/>
          <w:szCs w:val="28"/>
          <w14:textFill>
            <w14:solidFill>
              <w14:schemeClr w14:val="tx1"/>
            </w14:solidFill>
          </w14:textFill>
        </w:rPr>
        <w:t>，额外提供特岗津贴5万</w:t>
      </w:r>
      <w:r>
        <w:rPr>
          <w:rFonts w:hint="default" w:ascii="仿宋" w:hAnsi="仿宋" w:eastAsia="仿宋" w:cs="仿宋_GB2312"/>
          <w:color w:val="000000" w:themeColor="text1"/>
          <w:sz w:val="28"/>
          <w:szCs w:val="28"/>
          <w14:textFill>
            <w14:solidFill>
              <w14:schemeClr w14:val="tx1"/>
            </w14:solidFill>
          </w14:textFill>
        </w:rPr>
        <w:t>元</w:t>
      </w:r>
      <w:r>
        <w:rPr>
          <w:rFonts w:hint="eastAsia" w:ascii="仿宋" w:hAnsi="仿宋" w:eastAsia="仿宋" w:cs="仿宋_GB2312"/>
          <w:color w:val="000000" w:themeColor="text1"/>
          <w:sz w:val="28"/>
          <w:szCs w:val="28"/>
          <w14:textFill>
            <w14:solidFill>
              <w14:schemeClr w14:val="tx1"/>
            </w14:solidFill>
          </w14:textFill>
        </w:rPr>
        <w:t>/年，资助期3年，总计15万元</w:t>
      </w:r>
      <w:r>
        <w:rPr>
          <w:rFonts w:ascii="仿宋" w:hAnsi="仿宋" w:eastAsia="仿宋" w:cs="仿宋_GB2312"/>
          <w:color w:val="000000" w:themeColor="text1"/>
          <w:sz w:val="28"/>
          <w:szCs w:val="28"/>
          <w14:textFill>
            <w14:solidFill>
              <w14:schemeClr w14:val="tx1"/>
            </w14:solidFill>
          </w14:textFill>
        </w:rPr>
        <w:t>；</w:t>
      </w:r>
    </w:p>
    <w:p>
      <w:pPr>
        <w:numPr>
          <w:ilvl w:val="0"/>
          <w:numId w:val="2"/>
        </w:numPr>
        <w:spacing w:line="360" w:lineRule="auto"/>
        <w:jc w:val="left"/>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符合条件的引进人才可申请浙江大学等高校联培研究生指导教师资格及博士后合作导师资格。</w:t>
      </w:r>
    </w:p>
    <w:p>
      <w:pPr>
        <w:numPr>
          <w:ilvl w:val="0"/>
          <w:numId w:val="2"/>
        </w:numPr>
        <w:spacing w:line="360" w:lineRule="auto"/>
        <w:jc w:val="left"/>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可协助解决过渡性住房及子女入学、入托等。</w:t>
      </w:r>
    </w:p>
    <w:p>
      <w:pPr>
        <w:numPr>
          <w:ilvl w:val="0"/>
          <w:numId w:val="2"/>
        </w:numPr>
        <w:spacing w:line="360" w:lineRule="auto"/>
        <w:jc w:val="left"/>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博士后师资</w:t>
      </w:r>
      <w:r>
        <w:rPr>
          <w:rFonts w:hint="eastAsia" w:ascii="仿宋" w:hAnsi="仿宋" w:eastAsia="仿宋" w:cs="微软雅黑"/>
          <w:color w:val="000000" w:themeColor="text1"/>
          <w:sz w:val="28"/>
          <w:szCs w:val="28"/>
          <w14:textFill>
            <w14:solidFill>
              <w14:schemeClr w14:val="tx1"/>
            </w14:solidFill>
          </w14:textFill>
        </w:rPr>
        <w:t>纳</w:t>
      </w:r>
      <w:r>
        <w:rPr>
          <w:rFonts w:hint="eastAsia" w:ascii="仿宋" w:hAnsi="仿宋" w:eastAsia="仿宋" w:cs="仿宋_GB2312"/>
          <w:color w:val="000000" w:themeColor="text1"/>
          <w:sz w:val="28"/>
          <w:szCs w:val="28"/>
          <w14:textFill>
            <w14:solidFill>
              <w14:schemeClr w14:val="tx1"/>
            </w14:solidFill>
          </w14:textFill>
        </w:rPr>
        <w:t>入学校人事管理</w:t>
      </w:r>
      <w:r>
        <w:rPr>
          <w:rFonts w:hint="eastAsia" w:ascii="仿宋" w:hAnsi="仿宋" w:eastAsia="仿宋" w:cs="微软雅黑"/>
          <w:color w:val="000000" w:themeColor="text1"/>
          <w:sz w:val="28"/>
          <w:szCs w:val="28"/>
          <w14:textFill>
            <w14:solidFill>
              <w14:schemeClr w14:val="tx1"/>
            </w14:solidFill>
          </w14:textFill>
        </w:rPr>
        <w:t>范围</w:t>
      </w:r>
      <w:r>
        <w:rPr>
          <w:rFonts w:hint="eastAsia"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微软雅黑"/>
          <w:color w:val="000000" w:themeColor="text1"/>
          <w:sz w:val="28"/>
          <w:szCs w:val="28"/>
          <w14:textFill>
            <w14:solidFill>
              <w14:schemeClr w14:val="tx1"/>
            </w14:solidFill>
          </w14:textFill>
        </w:rPr>
        <w:t>薪酬</w:t>
      </w:r>
      <w:r>
        <w:rPr>
          <w:rFonts w:hint="eastAsia" w:ascii="仿宋" w:hAnsi="仿宋" w:eastAsia="仿宋" w:cs="仿宋_GB2312"/>
          <w:color w:val="000000" w:themeColor="text1"/>
          <w:sz w:val="28"/>
          <w:szCs w:val="28"/>
          <w14:textFill>
            <w14:solidFill>
              <w14:schemeClr w14:val="tx1"/>
            </w14:solidFill>
          </w14:textFill>
        </w:rPr>
        <w:t>、社会</w:t>
      </w:r>
      <w:r>
        <w:rPr>
          <w:rFonts w:hint="eastAsia" w:ascii="仿宋" w:hAnsi="仿宋" w:eastAsia="仿宋" w:cs="微软雅黑"/>
          <w:color w:val="000000" w:themeColor="text1"/>
          <w:sz w:val="28"/>
          <w:szCs w:val="28"/>
          <w14:textFill>
            <w14:solidFill>
              <w14:schemeClr w14:val="tx1"/>
            </w14:solidFill>
          </w14:textFill>
        </w:rPr>
        <w:t>保险</w:t>
      </w:r>
      <w:r>
        <w:rPr>
          <w:rFonts w:hint="eastAsia" w:ascii="仿宋" w:hAnsi="仿宋" w:eastAsia="仿宋" w:cs="仿宋_GB2312"/>
          <w:color w:val="000000" w:themeColor="text1"/>
          <w:sz w:val="28"/>
          <w:szCs w:val="28"/>
          <w14:textFill>
            <w14:solidFill>
              <w14:schemeClr w14:val="tx1"/>
            </w14:solidFill>
          </w14:textFill>
        </w:rPr>
        <w:t>及</w:t>
      </w:r>
      <w:r>
        <w:rPr>
          <w:rFonts w:hint="eastAsia" w:ascii="仿宋" w:hAnsi="仿宋" w:eastAsia="仿宋" w:cs="微软雅黑"/>
          <w:color w:val="000000" w:themeColor="text1"/>
          <w:sz w:val="28"/>
          <w:szCs w:val="28"/>
          <w14:textFill>
            <w14:solidFill>
              <w14:schemeClr w14:val="tx1"/>
            </w14:solidFill>
          </w14:textFill>
        </w:rPr>
        <w:t>福利</w:t>
      </w:r>
      <w:r>
        <w:rPr>
          <w:rFonts w:hint="eastAsia" w:ascii="仿宋" w:hAnsi="仿宋" w:eastAsia="仿宋" w:cs="仿宋_GB2312"/>
          <w:color w:val="000000" w:themeColor="text1"/>
          <w:sz w:val="28"/>
          <w:szCs w:val="28"/>
          <w14:textFill>
            <w14:solidFill>
              <w14:schemeClr w14:val="tx1"/>
            </w14:solidFill>
          </w14:textFill>
        </w:rPr>
        <w:t>待遇等比照校内事业在编同类人</w:t>
      </w:r>
      <w:r>
        <w:rPr>
          <w:rFonts w:hint="eastAsia" w:ascii="仿宋" w:hAnsi="仿宋" w:eastAsia="仿宋" w:cs="微软雅黑"/>
          <w:color w:val="000000" w:themeColor="text1"/>
          <w:sz w:val="28"/>
          <w:szCs w:val="28"/>
          <w14:textFill>
            <w14:solidFill>
              <w14:schemeClr w14:val="tx1"/>
            </w14:solidFill>
          </w14:textFill>
        </w:rPr>
        <w:t>员对</w:t>
      </w:r>
      <w:r>
        <w:rPr>
          <w:rFonts w:hint="eastAsia" w:ascii="仿宋" w:hAnsi="仿宋" w:eastAsia="仿宋" w:cs="仿宋_GB2312"/>
          <w:color w:val="000000" w:themeColor="text1"/>
          <w:sz w:val="28"/>
          <w:szCs w:val="28"/>
          <w14:textFill>
            <w14:solidFill>
              <w14:schemeClr w14:val="tx1"/>
            </w14:solidFill>
          </w14:textFill>
        </w:rPr>
        <w:t>待，</w:t>
      </w:r>
      <w:r>
        <w:rPr>
          <w:rFonts w:hint="eastAsia" w:ascii="仿宋" w:hAnsi="仿宋" w:eastAsia="仿宋" w:cs="仿宋_GB2312"/>
          <w:color w:val="000000" w:themeColor="text1"/>
          <w:sz w:val="28"/>
          <w:szCs w:val="28"/>
          <w:lang w:val="en-US" w:eastAsia="zh-CN"/>
          <w14:textFill>
            <w14:solidFill>
              <w14:schemeClr w14:val="tx1"/>
            </w14:solidFill>
          </w14:textFill>
        </w:rPr>
        <w:t>暂</w:t>
      </w:r>
      <w:r>
        <w:rPr>
          <w:rFonts w:hint="eastAsia" w:ascii="仿宋" w:hAnsi="仿宋" w:eastAsia="仿宋" w:cs="微软雅黑"/>
          <w:color w:val="000000" w:themeColor="text1"/>
          <w:sz w:val="28"/>
          <w:szCs w:val="28"/>
          <w14:textFill>
            <w14:solidFill>
              <w14:schemeClr w14:val="tx1"/>
            </w14:solidFill>
          </w14:textFill>
        </w:rPr>
        <w:t>不</w:t>
      </w:r>
      <w:r>
        <w:rPr>
          <w:rFonts w:hint="eastAsia" w:ascii="仿宋" w:hAnsi="仿宋" w:eastAsia="仿宋" w:cs="仿宋_GB2312"/>
          <w:color w:val="000000" w:themeColor="text1"/>
          <w:sz w:val="28"/>
          <w:szCs w:val="28"/>
          <w14:textFill>
            <w14:solidFill>
              <w14:schemeClr w14:val="tx1"/>
            </w14:solidFill>
          </w14:textFill>
        </w:rPr>
        <w:t>提供宁波市事业编制岗位。在站工作期</w:t>
      </w:r>
      <w:r>
        <w:rPr>
          <w:rFonts w:hint="eastAsia" w:ascii="仿宋" w:hAnsi="仿宋" w:eastAsia="仿宋" w:cs="微软雅黑"/>
          <w:color w:val="000000" w:themeColor="text1"/>
          <w:sz w:val="28"/>
          <w:szCs w:val="28"/>
          <w14:textFill>
            <w14:solidFill>
              <w14:schemeClr w14:val="tx1"/>
            </w14:solidFill>
          </w14:textFill>
        </w:rPr>
        <w:t>满考核</w:t>
      </w:r>
      <w:r>
        <w:rPr>
          <w:rFonts w:hint="eastAsia" w:ascii="仿宋" w:hAnsi="仿宋" w:eastAsia="仿宋" w:cs="仿宋_GB2312"/>
          <w:color w:val="000000" w:themeColor="text1"/>
          <w:sz w:val="28"/>
          <w:szCs w:val="28"/>
          <w14:textFill>
            <w14:solidFill>
              <w14:schemeClr w14:val="tx1"/>
            </w14:solidFill>
          </w14:textFill>
        </w:rPr>
        <w:t>合格</w:t>
      </w:r>
      <w:r>
        <w:rPr>
          <w:rFonts w:hint="eastAsia" w:ascii="仿宋" w:hAnsi="仿宋" w:eastAsia="仿宋" w:cs="微软雅黑"/>
          <w:color w:val="000000" w:themeColor="text1"/>
          <w:sz w:val="28"/>
          <w:szCs w:val="28"/>
          <w14:textFill>
            <w14:solidFill>
              <w14:schemeClr w14:val="tx1"/>
            </w14:solidFill>
          </w14:textFill>
        </w:rPr>
        <w:t>出</w:t>
      </w:r>
      <w:r>
        <w:rPr>
          <w:rFonts w:hint="eastAsia" w:ascii="仿宋" w:hAnsi="仿宋" w:eastAsia="仿宋" w:cs="仿宋_GB2312"/>
          <w:color w:val="000000" w:themeColor="text1"/>
          <w:sz w:val="28"/>
          <w:szCs w:val="28"/>
          <w14:textFill>
            <w14:solidFill>
              <w14:schemeClr w14:val="tx1"/>
            </w14:solidFill>
          </w14:textFill>
        </w:rPr>
        <w:t>站后，可选</w:t>
      </w:r>
      <w:r>
        <w:rPr>
          <w:rFonts w:hint="eastAsia" w:ascii="仿宋" w:hAnsi="仿宋" w:eastAsia="仿宋" w:cs="微软雅黑"/>
          <w:color w:val="000000" w:themeColor="text1"/>
          <w:sz w:val="28"/>
          <w:szCs w:val="28"/>
          <w14:textFill>
            <w14:solidFill>
              <w14:schemeClr w14:val="tx1"/>
            </w14:solidFill>
          </w14:textFill>
        </w:rPr>
        <w:t>择</w:t>
      </w:r>
      <w:r>
        <w:rPr>
          <w:rFonts w:hint="eastAsia" w:ascii="仿宋" w:hAnsi="仿宋" w:eastAsia="仿宋" w:cs="仿宋_GB2312"/>
          <w:color w:val="000000" w:themeColor="text1"/>
          <w:sz w:val="28"/>
          <w:szCs w:val="28"/>
          <w14:textFill>
            <w14:solidFill>
              <w14:schemeClr w14:val="tx1"/>
            </w14:solidFill>
          </w14:textFill>
        </w:rPr>
        <w:t>留校工作，办理正式入编手续。</w:t>
      </w:r>
    </w:p>
    <w:p>
      <w:pPr>
        <w:spacing w:line="360" w:lineRule="auto"/>
        <w:jc w:val="center"/>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高层次人才引进待遇表</w:t>
      </w:r>
    </w:p>
    <w:p>
      <w:pPr>
        <w:tabs>
          <w:tab w:val="left" w:pos="312"/>
        </w:tabs>
        <w:spacing w:line="360" w:lineRule="auto"/>
        <w:jc w:val="right"/>
        <w:rPr>
          <w:rFonts w:ascii="宋体" w:hAnsi="宋体" w:eastAsia="宋体" w:cs="宋体"/>
          <w:bCs/>
          <w:color w:val="000000" w:themeColor="text1"/>
          <w:kern w:val="0"/>
          <w:sz w:val="28"/>
          <w:szCs w:val="28"/>
          <w:lang w:bidi="ar"/>
          <w14:textFill>
            <w14:solidFill>
              <w14:schemeClr w14:val="tx1"/>
            </w14:solidFill>
          </w14:textFill>
        </w:rPr>
      </w:pPr>
      <w:r>
        <w:rPr>
          <w:rFonts w:hint="eastAsia" w:ascii="宋体" w:hAnsi="宋体" w:eastAsia="宋体" w:cs="宋体"/>
          <w:bCs/>
          <w:color w:val="000000" w:themeColor="text1"/>
          <w:kern w:val="0"/>
          <w:szCs w:val="21"/>
          <w:lang w:bidi="ar"/>
          <w14:textFill>
            <w14:solidFill>
              <w14:schemeClr w14:val="tx1"/>
            </w14:solidFill>
          </w14:textFill>
        </w:rPr>
        <w:t>单 位：万元   人民币</w:t>
      </w:r>
      <w:r>
        <w:rPr>
          <w:rFonts w:hint="eastAsia" w:ascii="宋体" w:hAnsi="宋体" w:cs="宋体"/>
          <w:bCs/>
          <w:color w:val="000000" w:themeColor="text1"/>
          <w:kern w:val="0"/>
          <w:szCs w:val="21"/>
          <w:lang w:bidi="ar"/>
          <w14:textFill>
            <w14:solidFill>
              <w14:schemeClr w14:val="tx1"/>
            </w14:solidFill>
          </w14:textFill>
        </w:rPr>
        <w:t>(</w:t>
      </w:r>
      <w:r>
        <w:rPr>
          <w:rFonts w:hint="eastAsia" w:ascii="宋体" w:hAnsi="宋体" w:eastAsia="宋体" w:cs="宋体"/>
          <w:bCs/>
          <w:color w:val="000000" w:themeColor="text1"/>
          <w:kern w:val="0"/>
          <w:szCs w:val="21"/>
          <w:lang w:bidi="ar"/>
          <w14:textFill>
            <w14:solidFill>
              <w14:schemeClr w14:val="tx1"/>
            </w14:solidFill>
          </w14:textFill>
        </w:rPr>
        <w:t>税前</w:t>
      </w:r>
      <w:r>
        <w:rPr>
          <w:rFonts w:hint="eastAsia" w:ascii="宋体" w:hAnsi="宋体" w:cs="宋体"/>
          <w:bCs/>
          <w:color w:val="000000" w:themeColor="text1"/>
          <w:kern w:val="0"/>
          <w:szCs w:val="21"/>
          <w:lang w:bidi="ar"/>
          <w14:textFill>
            <w14:solidFill>
              <w14:schemeClr w14:val="tx1"/>
            </w14:solidFill>
          </w14:textFill>
        </w:rPr>
        <w:t>)</w:t>
      </w:r>
    </w:p>
    <w:tbl>
      <w:tblPr>
        <w:tblStyle w:val="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276"/>
        <w:gridCol w:w="2766"/>
        <w:gridCol w:w="12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403" w:type="dxa"/>
            <w:gridSpan w:val="2"/>
            <w:vMerge w:val="restart"/>
            <w:shd w:val="clear" w:color="auto" w:fill="DEEBF6" w:themeFill="accent1" w:themeFillTint="32"/>
            <w:vAlign w:val="center"/>
          </w:tcPr>
          <w:p>
            <w:pPr>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人才类型</w:t>
            </w:r>
          </w:p>
        </w:tc>
        <w:tc>
          <w:tcPr>
            <w:tcW w:w="2766" w:type="dxa"/>
            <w:vMerge w:val="restart"/>
            <w:shd w:val="clear" w:color="auto" w:fill="DEEBF6" w:themeFill="accent1" w:themeFillTint="32"/>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pacing w:val="-20"/>
                <w:sz w:val="24"/>
                <w14:textFill>
                  <w14:solidFill>
                    <w14:schemeClr w14:val="tx1"/>
                  </w14:solidFill>
                </w14:textFill>
              </w:rPr>
              <w:t>安家补助及购房补贴（含宁波市提供）</w:t>
            </w:r>
          </w:p>
        </w:tc>
        <w:tc>
          <w:tcPr>
            <w:tcW w:w="2479" w:type="dxa"/>
            <w:gridSpan w:val="2"/>
            <w:shd w:val="clear" w:color="auto" w:fill="DEEBF6" w:themeFill="accent1" w:themeFillTint="32"/>
            <w:vAlign w:val="center"/>
          </w:tcPr>
          <w:p>
            <w:pPr>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科研启动费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03" w:type="dxa"/>
            <w:gridSpan w:val="2"/>
            <w:vMerge w:val="continue"/>
            <w:shd w:val="clear" w:color="auto" w:fill="DEEBF6" w:themeFill="accent1" w:themeFillTint="32"/>
            <w:vAlign w:val="center"/>
          </w:tcPr>
          <w:p>
            <w:pPr>
              <w:jc w:val="center"/>
              <w:rPr>
                <w:rFonts w:ascii="宋体" w:hAnsi="宋体" w:eastAsia="宋体" w:cs="宋体"/>
                <w:b/>
                <w:color w:val="000000" w:themeColor="text1"/>
                <w:sz w:val="24"/>
                <w14:textFill>
                  <w14:solidFill>
                    <w14:schemeClr w14:val="tx1"/>
                  </w14:solidFill>
                </w14:textFill>
              </w:rPr>
            </w:pPr>
          </w:p>
        </w:tc>
        <w:tc>
          <w:tcPr>
            <w:tcW w:w="2766" w:type="dxa"/>
            <w:vMerge w:val="continue"/>
            <w:shd w:val="clear" w:color="auto" w:fill="DEEBF6" w:themeFill="accent1" w:themeFillTint="32"/>
            <w:vAlign w:val="center"/>
          </w:tcPr>
          <w:p>
            <w:pPr>
              <w:jc w:val="center"/>
              <w:rPr>
                <w:rFonts w:ascii="宋体" w:hAnsi="宋体" w:eastAsia="宋体" w:cs="宋体"/>
                <w:b/>
                <w:color w:val="000000" w:themeColor="text1"/>
                <w:sz w:val="24"/>
                <w14:textFill>
                  <w14:solidFill>
                    <w14:schemeClr w14:val="tx1"/>
                  </w14:solidFill>
                </w14:textFill>
              </w:rPr>
            </w:pPr>
          </w:p>
        </w:tc>
        <w:tc>
          <w:tcPr>
            <w:tcW w:w="1203" w:type="dxa"/>
            <w:shd w:val="clear" w:color="auto" w:fill="DEEBF6" w:themeFill="accent1" w:themeFillTint="32"/>
            <w:vAlign w:val="center"/>
          </w:tcPr>
          <w:p>
            <w:pPr>
              <w:jc w:val="center"/>
              <w:rPr>
                <w:rFonts w:ascii="宋体" w:hAnsi="宋体" w:eastAsia="宋体" w:cs="宋体"/>
                <w:b/>
                <w:color w:val="000000" w:themeColor="text1"/>
                <w:spacing w:val="-20"/>
                <w:sz w:val="24"/>
                <w14:textFill>
                  <w14:solidFill>
                    <w14:schemeClr w14:val="tx1"/>
                  </w14:solidFill>
                </w14:textFill>
              </w:rPr>
            </w:pPr>
            <w:r>
              <w:rPr>
                <w:rFonts w:hint="eastAsia" w:ascii="宋体" w:hAnsi="宋体" w:eastAsia="宋体" w:cs="宋体"/>
                <w:b/>
                <w:color w:val="000000" w:themeColor="text1"/>
                <w:spacing w:val="-20"/>
                <w:sz w:val="24"/>
                <w14:textFill>
                  <w14:solidFill>
                    <w14:schemeClr w14:val="tx1"/>
                  </w14:solidFill>
                </w14:textFill>
              </w:rPr>
              <w:t>人文社科</w:t>
            </w:r>
          </w:p>
        </w:tc>
        <w:tc>
          <w:tcPr>
            <w:tcW w:w="1276" w:type="dxa"/>
            <w:shd w:val="clear" w:color="auto" w:fill="DEEBF6" w:themeFill="accent1" w:themeFillTint="32"/>
            <w:vAlign w:val="center"/>
          </w:tcPr>
          <w:p>
            <w:pPr>
              <w:jc w:val="center"/>
              <w:rPr>
                <w:rFonts w:ascii="宋体" w:hAnsi="宋体" w:eastAsia="宋体" w:cs="宋体"/>
                <w:b/>
                <w:color w:val="000000" w:themeColor="text1"/>
                <w:spacing w:val="-20"/>
                <w:sz w:val="24"/>
                <w14:textFill>
                  <w14:solidFill>
                    <w14:schemeClr w14:val="tx1"/>
                  </w14:solidFill>
                </w14:textFill>
              </w:rPr>
            </w:pPr>
            <w:r>
              <w:rPr>
                <w:rFonts w:hint="eastAsia" w:ascii="宋体" w:hAnsi="宋体" w:eastAsia="宋体" w:cs="宋体"/>
                <w:b/>
                <w:color w:val="000000" w:themeColor="text1"/>
                <w:spacing w:val="-20"/>
                <w:sz w:val="24"/>
                <w14:textFill>
                  <w14:solidFill>
                    <w14:schemeClr w14:val="tx1"/>
                  </w14:solidFill>
                </w14:textFill>
              </w:rPr>
              <w:t>理工科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27" w:type="dxa"/>
            <w:vMerge w:val="restart"/>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顶尖人才</w:t>
            </w: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Ⅰ</w:t>
            </w:r>
            <w:r>
              <w:rPr>
                <w:rFonts w:hint="eastAsia" w:ascii="宋体" w:hAnsi="宋体" w:eastAsia="宋体" w:cs="宋体"/>
                <w:color w:val="000000" w:themeColor="text1"/>
                <w:sz w:val="24"/>
                <w14:textFill>
                  <w14:solidFill>
                    <w14:schemeClr w14:val="tx1"/>
                  </w14:solidFill>
                </w14:textFill>
              </w:rPr>
              <w:t>类</w:t>
            </w:r>
          </w:p>
        </w:tc>
        <w:tc>
          <w:tcPr>
            <w:tcW w:w="2766" w:type="dxa"/>
            <w:vAlign w:val="center"/>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不低于1000万</w:t>
            </w:r>
          </w:p>
        </w:tc>
        <w:tc>
          <w:tcPr>
            <w:tcW w:w="2479" w:type="dxa"/>
            <w:gridSpan w:val="2"/>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127" w:type="dxa"/>
            <w:vMerge w:val="continue"/>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Ⅱ</w:t>
            </w:r>
            <w:r>
              <w:rPr>
                <w:rFonts w:hint="eastAsia" w:ascii="宋体" w:hAnsi="宋体" w:eastAsia="宋体" w:cs="宋体"/>
                <w:color w:val="000000" w:themeColor="text1"/>
                <w:sz w:val="24"/>
                <w14:textFill>
                  <w14:solidFill>
                    <w14:schemeClr w14:val="tx1"/>
                  </w14:solidFill>
                </w14:textFill>
              </w:rPr>
              <w:t>类</w:t>
            </w:r>
          </w:p>
        </w:tc>
        <w:tc>
          <w:tcPr>
            <w:tcW w:w="2766" w:type="dxa"/>
            <w:vAlign w:val="center"/>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不低于360万</w:t>
            </w:r>
          </w:p>
        </w:tc>
        <w:tc>
          <w:tcPr>
            <w:tcW w:w="1203"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≥60</w:t>
            </w:r>
          </w:p>
        </w:tc>
        <w:tc>
          <w:tcPr>
            <w:tcW w:w="1276"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r>
              <w:rPr>
                <w:rFonts w:hint="eastAsia" w:ascii="宋体" w:hAnsi="宋体" w:eastAsia="宋体" w:cs="宋体"/>
                <w:color w:val="000000" w:themeColor="text1"/>
                <w:kern w:val="0"/>
                <w:sz w:val="24"/>
                <w:lang w:val="en-US" w:eastAsia="zh-CN"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27" w:type="dxa"/>
            <w:vMerge w:val="restart"/>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学术领军人才</w:t>
            </w: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Ⅰ</w:t>
            </w:r>
            <w:r>
              <w:rPr>
                <w:rFonts w:hint="eastAsia" w:ascii="宋体" w:hAnsi="宋体" w:eastAsia="宋体" w:cs="宋体"/>
                <w:color w:val="000000" w:themeColor="text1"/>
                <w:sz w:val="24"/>
                <w14:textFill>
                  <w14:solidFill>
                    <w14:schemeClr w14:val="tx1"/>
                  </w14:solidFill>
                </w14:textFill>
              </w:rPr>
              <w:t>类</w:t>
            </w:r>
          </w:p>
        </w:tc>
        <w:tc>
          <w:tcPr>
            <w:tcW w:w="2766" w:type="dxa"/>
            <w:vAlign w:val="center"/>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不低于240万</w:t>
            </w:r>
          </w:p>
        </w:tc>
        <w:tc>
          <w:tcPr>
            <w:tcW w:w="1203"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40</w:t>
            </w:r>
          </w:p>
        </w:tc>
        <w:tc>
          <w:tcPr>
            <w:tcW w:w="1276"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27" w:type="dxa"/>
            <w:vMerge w:val="continue"/>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Ⅱ</w:t>
            </w:r>
            <w:r>
              <w:rPr>
                <w:rFonts w:hint="eastAsia" w:ascii="宋体" w:hAnsi="宋体" w:eastAsia="宋体" w:cs="宋体"/>
                <w:color w:val="000000" w:themeColor="text1"/>
                <w:sz w:val="24"/>
                <w14:textFill>
                  <w14:solidFill>
                    <w14:schemeClr w14:val="tx1"/>
                  </w14:solidFill>
                </w14:textFill>
              </w:rPr>
              <w:t>类</w:t>
            </w:r>
          </w:p>
        </w:tc>
        <w:tc>
          <w:tcPr>
            <w:tcW w:w="2766" w:type="dxa"/>
            <w:vAlign w:val="center"/>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不低于155万</w:t>
            </w:r>
          </w:p>
        </w:tc>
        <w:tc>
          <w:tcPr>
            <w:tcW w:w="1203"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20</w:t>
            </w:r>
          </w:p>
        </w:tc>
        <w:tc>
          <w:tcPr>
            <w:tcW w:w="1276"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27" w:type="dxa"/>
            <w:vMerge w:val="restart"/>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学术骨干</w:t>
            </w: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Ⅰ</w:t>
            </w:r>
            <w:r>
              <w:rPr>
                <w:rFonts w:hint="eastAsia" w:ascii="宋体" w:hAnsi="宋体" w:eastAsia="宋体" w:cs="宋体"/>
                <w:color w:val="000000" w:themeColor="text1"/>
                <w:sz w:val="24"/>
                <w14:textFill>
                  <w14:solidFill>
                    <w14:schemeClr w14:val="tx1"/>
                  </w14:solidFill>
                </w14:textFill>
              </w:rPr>
              <w:t>类</w:t>
            </w:r>
          </w:p>
        </w:tc>
        <w:tc>
          <w:tcPr>
            <w:tcW w:w="2766" w:type="dxa"/>
            <w:vAlign w:val="center"/>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不低于115万</w:t>
            </w:r>
          </w:p>
        </w:tc>
        <w:tc>
          <w:tcPr>
            <w:tcW w:w="1203"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15万</w:t>
            </w:r>
          </w:p>
        </w:tc>
        <w:tc>
          <w:tcPr>
            <w:tcW w:w="1276"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27" w:type="dxa"/>
            <w:vMerge w:val="continue"/>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Ⅱ</w:t>
            </w:r>
            <w:r>
              <w:rPr>
                <w:rFonts w:hint="eastAsia" w:ascii="宋体" w:hAnsi="宋体" w:eastAsia="宋体" w:cs="宋体"/>
                <w:color w:val="000000" w:themeColor="text1"/>
                <w:sz w:val="24"/>
                <w14:textFill>
                  <w14:solidFill>
                    <w14:schemeClr w14:val="tx1"/>
                  </w14:solidFill>
                </w14:textFill>
              </w:rPr>
              <w:t>类</w:t>
            </w:r>
          </w:p>
        </w:tc>
        <w:tc>
          <w:tcPr>
            <w:tcW w:w="2766" w:type="dxa"/>
            <w:vAlign w:val="center"/>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不低于110万</w:t>
            </w:r>
          </w:p>
        </w:tc>
        <w:tc>
          <w:tcPr>
            <w:tcW w:w="1203"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10万</w:t>
            </w: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vMerge w:val="continue"/>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Ⅲ</w:t>
            </w:r>
            <w:r>
              <w:rPr>
                <w:rFonts w:hint="eastAsia" w:ascii="宋体" w:hAnsi="宋体" w:eastAsia="宋体" w:cs="宋体"/>
                <w:color w:val="000000" w:themeColor="text1"/>
                <w:sz w:val="24"/>
                <w14:textFill>
                  <w14:solidFill>
                    <w14:schemeClr w14:val="tx1"/>
                  </w14:solidFill>
                </w14:textFill>
              </w:rPr>
              <w:t>类</w:t>
            </w:r>
          </w:p>
        </w:tc>
        <w:tc>
          <w:tcPr>
            <w:tcW w:w="2766" w:type="dxa"/>
            <w:vAlign w:val="center"/>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不低于10</w:t>
            </w:r>
            <w:r>
              <w:rPr>
                <w:rFonts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万，另有特岗津贴15万</w:t>
            </w:r>
          </w:p>
        </w:tc>
        <w:tc>
          <w:tcPr>
            <w:tcW w:w="1203"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8万</w:t>
            </w: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27" w:type="dxa"/>
            <w:vMerge w:val="continue"/>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Ⅳ</w:t>
            </w:r>
            <w:r>
              <w:rPr>
                <w:rFonts w:hint="eastAsia" w:ascii="宋体" w:hAnsi="宋体" w:eastAsia="宋体" w:cs="宋体"/>
                <w:color w:val="000000" w:themeColor="text1"/>
                <w:sz w:val="24"/>
                <w14:textFill>
                  <w14:solidFill>
                    <w14:schemeClr w14:val="tx1"/>
                  </w14:solidFill>
                </w14:textFill>
              </w:rPr>
              <w:t>类</w:t>
            </w:r>
          </w:p>
        </w:tc>
        <w:tc>
          <w:tcPr>
            <w:tcW w:w="2766" w:type="dxa"/>
            <w:vAlign w:val="center"/>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不低于100万</w:t>
            </w:r>
          </w:p>
        </w:tc>
        <w:tc>
          <w:tcPr>
            <w:tcW w:w="1203"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5万</w:t>
            </w: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127" w:type="dxa"/>
            <w:vMerge w:val="continue"/>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博士后师资</w:t>
            </w:r>
          </w:p>
        </w:tc>
        <w:tc>
          <w:tcPr>
            <w:tcW w:w="2766" w:type="dxa"/>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不低于95万；出站后留甬工作的，还可申领40</w:t>
            </w:r>
            <w:r>
              <w:rPr>
                <w:rFonts w:hint="eastAsia" w:ascii="宋体" w:hAnsi="宋体" w:eastAsia="宋体" w:cs="宋体"/>
                <w:color w:val="000000" w:themeColor="text1"/>
                <w:sz w:val="24"/>
                <w:lang w:val="en-US" w:eastAsia="zh-CN"/>
                <w14:textFill>
                  <w14:solidFill>
                    <w14:schemeClr w14:val="tx1"/>
                  </w14:solidFill>
                </w14:textFill>
              </w:rPr>
              <w:t>-60</w:t>
            </w:r>
            <w:r>
              <w:rPr>
                <w:rFonts w:hint="eastAsia" w:ascii="宋体" w:hAnsi="宋体" w:eastAsia="宋体" w:cs="宋体"/>
                <w:color w:val="000000" w:themeColor="text1"/>
                <w:sz w:val="24"/>
                <w14:textFill>
                  <w14:solidFill>
                    <w14:schemeClr w14:val="tx1"/>
                  </w14:solidFill>
                </w14:textFill>
              </w:rPr>
              <w:t>万留甬补助</w:t>
            </w:r>
          </w:p>
        </w:tc>
        <w:tc>
          <w:tcPr>
            <w:tcW w:w="1203"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5万</w:t>
            </w:r>
          </w:p>
        </w:tc>
        <w:tc>
          <w:tcPr>
            <w:tcW w:w="1276"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10万</w:t>
            </w:r>
          </w:p>
        </w:tc>
      </w:tr>
    </w:tbl>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备注：应聘</w:t>
      </w:r>
      <w:r>
        <w:rPr>
          <w:rFonts w:hint="default"/>
          <w:color w:val="000000" w:themeColor="text1"/>
          <w:sz w:val="24"/>
          <w14:textFill>
            <w14:solidFill>
              <w14:schemeClr w14:val="tx1"/>
            </w14:solidFill>
          </w14:textFill>
        </w:rPr>
        <w:t>上述</w:t>
      </w:r>
      <w:r>
        <w:rPr>
          <w:rFonts w:hint="eastAsia"/>
          <w:color w:val="000000" w:themeColor="text1"/>
          <w:sz w:val="24"/>
          <w14:textFill>
            <w14:solidFill>
              <w14:schemeClr w14:val="tx1"/>
            </w14:solidFill>
          </w14:textFill>
        </w:rPr>
        <w:t>高层次人才须对应符合最新《宁波市人才分类目录》</w:t>
      </w:r>
      <w:r>
        <w:rPr>
          <w:rFonts w:hint="eastAsia" w:ascii="宋体" w:hAnsi="宋体" w:eastAsia="宋体" w:cs="宋体"/>
          <w:color w:val="000000" w:themeColor="text1"/>
          <w:sz w:val="24"/>
          <w14:textFill>
            <w14:solidFill>
              <w14:schemeClr w14:val="tx1"/>
            </w14:solidFill>
          </w14:textFill>
        </w:rPr>
        <w:t>的</w:t>
      </w:r>
      <w:r>
        <w:rPr>
          <w:rFonts w:hint="default" w:ascii="宋体" w:hAnsi="宋体" w:eastAsia="宋体" w:cs="宋体"/>
          <w:color w:val="000000" w:themeColor="text1"/>
          <w:sz w:val="24"/>
          <w14:textFill>
            <w14:solidFill>
              <w14:schemeClr w14:val="tx1"/>
            </w14:solidFill>
          </w14:textFill>
        </w:rPr>
        <w:t>人才</w:t>
      </w:r>
      <w:r>
        <w:rPr>
          <w:rFonts w:hint="eastAsia"/>
          <w:color w:val="000000" w:themeColor="text1"/>
          <w:sz w:val="24"/>
          <w14:textFill>
            <w14:solidFill>
              <w14:schemeClr w14:val="tx1"/>
            </w14:solidFill>
          </w14:textFill>
        </w:rPr>
        <w:t>认定标准，方能享受宁波市的安家补助及购房补贴。</w:t>
      </w:r>
    </w:p>
    <w:p>
      <w:pPr>
        <w:numPr>
          <w:ilvl w:val="255"/>
          <w:numId w:val="0"/>
        </w:numPr>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六、应聘方式</w:t>
      </w:r>
    </w:p>
    <w:p>
      <w:pPr>
        <w:widowControl/>
        <w:numPr>
          <w:ilvl w:val="255"/>
          <w:numId w:val="0"/>
        </w:num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请将个人简历（包括个人基本信息、学习和工作经历、主要学术成果等）发送至：</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"mailto:zrsc@nbt.edu.cn，邮件标题为%22姓名+专业+应聘学院%22。" </w:instrText>
      </w:r>
      <w:r>
        <w:rPr>
          <w:color w:val="000000" w:themeColor="text1"/>
          <w14:textFill>
            <w14:solidFill>
              <w14:schemeClr w14:val="tx1"/>
            </w14:solidFill>
          </w14:textFill>
        </w:rPr>
        <w:fldChar w:fldCharType="separate"/>
      </w:r>
      <w:r>
        <w:rPr>
          <w:rFonts w:hint="eastAsia" w:ascii="微软雅黑" w:hAnsi="微软雅黑" w:eastAsia="微软雅黑" w:cs="微软雅黑"/>
          <w:b/>
          <w:bCs/>
          <w:color w:val="C00000"/>
          <w:sz w:val="24"/>
          <w:szCs w:val="24"/>
        </w:rPr>
        <w:t>zrsc@nbt.edu.cn</w:t>
      </w:r>
      <w:r>
        <w:rPr>
          <w:rStyle w:val="9"/>
          <w:rFonts w:hint="eastAsia" w:ascii="微软雅黑" w:hAnsi="微软雅黑" w:eastAsia="微软雅黑" w:cs="微软雅黑"/>
          <w:b/>
          <w:bCs/>
          <w:color w:val="C00000"/>
          <w:sz w:val="24"/>
          <w:szCs w:val="24"/>
          <w:u w:val="none"/>
          <w:lang w:val="en-US" w:eastAsia="zh-CN"/>
        </w:rPr>
        <w:t>,</w:t>
      </w:r>
      <w:r>
        <w:rPr>
          <w:rFonts w:hint="eastAsia" w:ascii="微软雅黑" w:hAnsi="微软雅黑" w:eastAsia="微软雅黑" w:cs="微软雅黑"/>
          <w:b/>
          <w:bCs/>
          <w:color w:val="C00000"/>
          <w:sz w:val="24"/>
          <w:szCs w:val="24"/>
        </w:rPr>
        <w:fldChar w:fldCharType="begin"/>
      </w:r>
      <w:r>
        <w:rPr>
          <w:rFonts w:hint="eastAsia" w:ascii="微软雅黑" w:hAnsi="微软雅黑" w:eastAsia="微软雅黑" w:cs="微软雅黑"/>
          <w:b/>
          <w:bCs/>
          <w:color w:val="C00000"/>
          <w:sz w:val="24"/>
          <w:szCs w:val="24"/>
        </w:rPr>
        <w:instrText xml:space="preserve"> HYPERLINK "mailto:huahnyu9@126.com" </w:instrText>
      </w:r>
      <w:r>
        <w:rPr>
          <w:rFonts w:hint="eastAsia" w:ascii="微软雅黑" w:hAnsi="微软雅黑" w:eastAsia="微软雅黑" w:cs="微软雅黑"/>
          <w:b/>
          <w:bCs/>
          <w:color w:val="C00000"/>
          <w:sz w:val="24"/>
          <w:szCs w:val="24"/>
        </w:rPr>
        <w:fldChar w:fldCharType="separate"/>
      </w:r>
      <w:r>
        <w:rPr>
          <w:rFonts w:hint="eastAsia" w:ascii="微软雅黑" w:hAnsi="微软雅黑" w:eastAsia="微软雅黑" w:cs="微软雅黑"/>
          <w:b/>
          <w:bCs/>
          <w:color w:val="C00000"/>
          <w:sz w:val="24"/>
          <w:szCs w:val="24"/>
        </w:rPr>
        <w:t>huahnyu9@126.com</w:t>
      </w:r>
      <w:r>
        <w:rPr>
          <w:rFonts w:hint="eastAsia" w:ascii="微软雅黑" w:hAnsi="微软雅黑" w:eastAsia="微软雅黑" w:cs="微软雅黑"/>
          <w:b/>
          <w:bCs/>
          <w:color w:val="C00000"/>
          <w:sz w:val="24"/>
          <w:szCs w:val="24"/>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，邮件标题为“</w:t>
      </w:r>
      <w:r>
        <w:rPr>
          <w:rFonts w:hint="eastAsia" w:ascii="仿宋_GB2312" w:hAnsi="仿宋_GB2312" w:eastAsia="仿宋_GB2312" w:cs="仿宋_GB2312"/>
          <w:b/>
          <w:bCs/>
          <w:color w:val="C00000"/>
          <w:sz w:val="28"/>
          <w:szCs w:val="28"/>
        </w:rPr>
        <w:t>姓名+专业+应聘学院</w:t>
      </w:r>
      <w:r>
        <w:rPr>
          <w:rFonts w:hint="eastAsia" w:ascii="仿宋_GB2312" w:hAnsi="仿宋_GB2312" w:eastAsia="仿宋_GB2312" w:cs="仿宋_GB2312"/>
          <w:b/>
          <w:bCs/>
          <w:color w:val="C00000"/>
          <w:sz w:val="28"/>
          <w:szCs w:val="28"/>
          <w:lang w:val="en-US" w:eastAsia="zh-CN"/>
        </w:rPr>
        <w:t>+应聘人才类型+海外博士网</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七、垂询方式</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联系人：陈老师、黄老师</w:t>
      </w:r>
    </w:p>
    <w:p>
      <w:pPr>
        <w:spacing w:line="360" w:lineRule="auto"/>
        <w:ind w:firstLine="560"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联系电话：+86-0574-88229</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992</w:t>
      </w:r>
      <w:r>
        <w:rPr>
          <w:rFonts w:hint="eastAsia" w:ascii="仿宋_GB2312" w:hAnsi="仿宋_GB2312" w:eastAsia="仿宋_GB2312" w:cs="仿宋_GB2312"/>
          <w:color w:val="000000" w:themeColor="text1"/>
          <w:sz w:val="28"/>
          <w:szCs w:val="28"/>
          <w14:textFill>
            <w14:solidFill>
              <w14:schemeClr w14:val="tx1"/>
            </w14:solidFill>
          </w14:textFill>
        </w:rPr>
        <w:t>、+86-0574-882290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学校网址：www.nbt.edu.cn</w:t>
      </w:r>
    </w:p>
    <w:p>
      <w:pPr>
        <w:spacing w:line="360" w:lineRule="auto"/>
        <w:ind w:firstLine="560" w:firstLineChars="200"/>
        <w:rPr>
          <w:rFonts w:hint="eastAsia" w:ascii="微软雅黑" w:hAnsi="微软雅黑" w:eastAsia="微软雅黑" w:cs="微软雅黑"/>
          <w:b/>
          <w:bCs/>
          <w:color w:val="C00000"/>
          <w:sz w:val="24"/>
          <w:szCs w:val="24"/>
        </w:rPr>
      </w:pPr>
      <w:r>
        <w:rPr>
          <w:rFonts w:hint="eastAsia" w:ascii="仿宋_GB2312" w:hAnsi="仿宋_GB2312" w:eastAsia="仿宋_GB2312" w:cs="仿宋_GB2312"/>
          <w:color w:val="000000" w:themeColor="text1"/>
          <w:sz w:val="28"/>
          <w:szCs w:val="28"/>
          <w14:textFill>
            <w14:solidFill>
              <w14:schemeClr w14:val="tx1"/>
            </w14:solidFill>
          </w14:textFill>
        </w:rPr>
        <w:t>电子邮箱：</w:t>
      </w:r>
      <w:r>
        <w:rPr>
          <w:rFonts w:hint="eastAsia" w:ascii="微软雅黑" w:hAnsi="微软雅黑" w:eastAsia="微软雅黑" w:cs="微软雅黑"/>
          <w:b/>
          <w:bCs/>
          <w:color w:val="C00000"/>
          <w:sz w:val="24"/>
          <w:szCs w:val="24"/>
        </w:rPr>
        <w:t>zrsc@nbt.edu.cn</w:t>
      </w:r>
      <w:r>
        <w:rPr>
          <w:rStyle w:val="9"/>
          <w:rFonts w:hint="eastAsia" w:ascii="微软雅黑" w:hAnsi="微软雅黑" w:eastAsia="微软雅黑" w:cs="微软雅黑"/>
          <w:b/>
          <w:bCs/>
          <w:color w:val="C00000"/>
          <w:sz w:val="24"/>
          <w:szCs w:val="24"/>
          <w:u w:val="none"/>
          <w:lang w:val="en-US" w:eastAsia="zh-CN"/>
        </w:rPr>
        <w:t>,</w:t>
      </w:r>
      <w:r>
        <w:rPr>
          <w:rFonts w:hint="eastAsia" w:ascii="微软雅黑" w:hAnsi="微软雅黑" w:eastAsia="微软雅黑" w:cs="微软雅黑"/>
          <w:b/>
          <w:bCs/>
          <w:color w:val="C00000"/>
          <w:sz w:val="24"/>
          <w:szCs w:val="24"/>
        </w:rPr>
        <w:fldChar w:fldCharType="begin"/>
      </w:r>
      <w:r>
        <w:rPr>
          <w:rFonts w:hint="eastAsia" w:ascii="微软雅黑" w:hAnsi="微软雅黑" w:eastAsia="微软雅黑" w:cs="微软雅黑"/>
          <w:b/>
          <w:bCs/>
          <w:color w:val="C00000"/>
          <w:sz w:val="24"/>
          <w:szCs w:val="24"/>
        </w:rPr>
        <w:instrText xml:space="preserve"> HYPERLINK "mailto:huahnyu9@126.com" </w:instrText>
      </w:r>
      <w:r>
        <w:rPr>
          <w:rFonts w:hint="eastAsia" w:ascii="微软雅黑" w:hAnsi="微软雅黑" w:eastAsia="微软雅黑" w:cs="微软雅黑"/>
          <w:b/>
          <w:bCs/>
          <w:color w:val="C00000"/>
          <w:sz w:val="24"/>
          <w:szCs w:val="24"/>
        </w:rPr>
        <w:fldChar w:fldCharType="separate"/>
      </w:r>
      <w:r>
        <w:rPr>
          <w:rFonts w:hint="eastAsia" w:ascii="微软雅黑" w:hAnsi="微软雅黑" w:eastAsia="微软雅黑" w:cs="微软雅黑"/>
          <w:b/>
          <w:bCs/>
          <w:color w:val="C00000"/>
          <w:sz w:val="24"/>
          <w:szCs w:val="24"/>
        </w:rPr>
        <w:t>huahnyu9@126.com</w:t>
      </w:r>
      <w:r>
        <w:rPr>
          <w:rFonts w:hint="eastAsia" w:ascii="微软雅黑" w:hAnsi="微软雅黑" w:eastAsia="微软雅黑" w:cs="微软雅黑"/>
          <w:b/>
          <w:bCs/>
          <w:color w:val="C00000"/>
          <w:sz w:val="24"/>
          <w:szCs w:val="24"/>
        </w:rPr>
        <w:fldChar w:fldCharType="end"/>
      </w:r>
    </w:p>
    <w:p>
      <w:pPr>
        <w:spacing w:line="360" w:lineRule="auto"/>
        <w:ind w:firstLine="560" w:firstLineChars="200"/>
        <w:rPr>
          <w:rFonts w:hint="eastAsia" w:ascii="微软雅黑" w:hAnsi="微软雅黑" w:eastAsia="微软雅黑" w:cs="微软雅黑"/>
          <w:b/>
          <w:bCs/>
          <w:color w:val="C00000"/>
          <w:sz w:val="24"/>
          <w:szCs w:val="24"/>
        </w:rPr>
      </w:pPr>
      <w:r>
        <w:rPr>
          <w:rFonts w:hint="eastAsia" w:ascii="仿宋_GB2312" w:hAnsi="仿宋_GB2312" w:eastAsia="仿宋_GB2312" w:cs="仿宋_GB2312"/>
          <w:color w:val="000000" w:themeColor="text1"/>
          <w:sz w:val="28"/>
          <w:szCs w:val="28"/>
          <w14:textFill>
            <w14:solidFill>
              <w14:schemeClr w14:val="tx1"/>
            </w14:solidFill>
          </w14:textFill>
        </w:rPr>
        <w:t>邮件标题为“</w:t>
      </w:r>
      <w:r>
        <w:rPr>
          <w:rFonts w:hint="eastAsia" w:ascii="仿宋_GB2312" w:hAnsi="仿宋_GB2312" w:eastAsia="仿宋_GB2312" w:cs="仿宋_GB2312"/>
          <w:b/>
          <w:bCs/>
          <w:color w:val="C00000"/>
          <w:sz w:val="28"/>
          <w:szCs w:val="28"/>
        </w:rPr>
        <w:t>姓名+专业+应聘学院</w:t>
      </w:r>
      <w:r>
        <w:rPr>
          <w:rFonts w:hint="eastAsia" w:ascii="仿宋_GB2312" w:hAnsi="仿宋_GB2312" w:eastAsia="仿宋_GB2312" w:cs="仿宋_GB2312"/>
          <w:b/>
          <w:bCs/>
          <w:color w:val="C00000"/>
          <w:sz w:val="28"/>
          <w:szCs w:val="28"/>
          <w:lang w:val="en-US" w:eastAsia="zh-CN"/>
        </w:rPr>
        <w:t>+应聘人才类型+海外博士网</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通讯地址：宁波市钱湖南路1号，浙大宁波理工学院人事处（行政楼512办公室）</w:t>
      </w:r>
    </w:p>
    <w:p>
      <w:pPr>
        <w:pStyle w:val="4"/>
        <w:widowControl/>
        <w:spacing w:beforeAutospacing="0" w:afterAutospacing="0"/>
        <w:jc w:val="both"/>
        <w:rPr>
          <w:rFonts w:ascii="仿宋_GB2312" w:hAnsi="仿宋_GB2312" w:eastAsia="仿宋_GB2312" w:cs="仿宋_GB2312"/>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D7C457-5DC5-4546-B14E-29DEFCAB80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BE7D6EC-A9FF-4D2A-82B5-A2157B11F79B}"/>
  </w:font>
  <w:font w:name="仿宋_GB2312">
    <w:panose1 w:val="02010609030101010101"/>
    <w:charset w:val="86"/>
    <w:family w:val="auto"/>
    <w:pitch w:val="default"/>
    <w:sig w:usb0="00000001" w:usb1="080E0000" w:usb2="00000000" w:usb3="00000000" w:csb0="00040000" w:csb1="00000000"/>
    <w:embedRegular r:id="rId3" w:fontKey="{5EEFBAC3-BD91-4F1E-9EAE-9A1FEB13DF74}"/>
  </w:font>
  <w:font w:name="仿宋">
    <w:panose1 w:val="02010609060101010101"/>
    <w:charset w:val="86"/>
    <w:family w:val="modern"/>
    <w:pitch w:val="default"/>
    <w:sig w:usb0="800002BF" w:usb1="38CF7CFA" w:usb2="00000016" w:usb3="00000000" w:csb0="00040001" w:csb1="00000000"/>
    <w:embedRegular r:id="rId4" w:fontKey="{8D574243-4D7B-4F3E-95C0-ED845CE5C2DC}"/>
  </w:font>
  <w:font w:name="微软雅黑">
    <w:panose1 w:val="020B0503020204020204"/>
    <w:charset w:val="86"/>
    <w:family w:val="swiss"/>
    <w:pitch w:val="default"/>
    <w:sig w:usb0="80000287" w:usb1="2ACF3C50" w:usb2="00000016" w:usb3="00000000" w:csb0="0004001F" w:csb1="00000000"/>
    <w:embedRegular r:id="rId5" w:fontKey="{48754EA6-0741-4ABE-9B53-4761EBF23D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8A54C"/>
    <w:multiLevelType w:val="singleLevel"/>
    <w:tmpl w:val="EFB8A54C"/>
    <w:lvl w:ilvl="0" w:tentative="0">
      <w:start w:val="2"/>
      <w:numFmt w:val="chineseCounting"/>
      <w:suff w:val="nothing"/>
      <w:lvlText w:val="%1、"/>
      <w:lvlJc w:val="left"/>
      <w:rPr>
        <w:rFonts w:hint="eastAsia"/>
      </w:rPr>
    </w:lvl>
  </w:abstractNum>
  <w:abstractNum w:abstractNumId="1">
    <w:nsid w:val="569D28DD"/>
    <w:multiLevelType w:val="singleLevel"/>
    <w:tmpl w:val="569D28D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7430A6"/>
    <w:rsid w:val="00046B46"/>
    <w:rsid w:val="002C5067"/>
    <w:rsid w:val="00497513"/>
    <w:rsid w:val="004E0ED8"/>
    <w:rsid w:val="004E5540"/>
    <w:rsid w:val="004E56CC"/>
    <w:rsid w:val="005E3166"/>
    <w:rsid w:val="00712B1C"/>
    <w:rsid w:val="007430A6"/>
    <w:rsid w:val="009802DA"/>
    <w:rsid w:val="00BF27AD"/>
    <w:rsid w:val="00C608A9"/>
    <w:rsid w:val="00EB2323"/>
    <w:rsid w:val="00F70C49"/>
    <w:rsid w:val="036027C3"/>
    <w:rsid w:val="05BC2DD7"/>
    <w:rsid w:val="08204DFE"/>
    <w:rsid w:val="0C2E582B"/>
    <w:rsid w:val="137F23BA"/>
    <w:rsid w:val="160514B7"/>
    <w:rsid w:val="1A913B6E"/>
    <w:rsid w:val="1B2B44C8"/>
    <w:rsid w:val="1CEE5317"/>
    <w:rsid w:val="21180C8F"/>
    <w:rsid w:val="229F21A5"/>
    <w:rsid w:val="27F3483F"/>
    <w:rsid w:val="2A7E323B"/>
    <w:rsid w:val="2BC8776F"/>
    <w:rsid w:val="2D6374A2"/>
    <w:rsid w:val="355942FC"/>
    <w:rsid w:val="37C40069"/>
    <w:rsid w:val="3A3C51CF"/>
    <w:rsid w:val="42B6488D"/>
    <w:rsid w:val="42BF0CBF"/>
    <w:rsid w:val="43E50640"/>
    <w:rsid w:val="4815407B"/>
    <w:rsid w:val="49806CF8"/>
    <w:rsid w:val="4AFD2E56"/>
    <w:rsid w:val="4DB355C9"/>
    <w:rsid w:val="4F843EFC"/>
    <w:rsid w:val="51525668"/>
    <w:rsid w:val="51CE5FB3"/>
    <w:rsid w:val="538E3221"/>
    <w:rsid w:val="53B94237"/>
    <w:rsid w:val="56020D25"/>
    <w:rsid w:val="56A968B3"/>
    <w:rsid w:val="56C80405"/>
    <w:rsid w:val="5C0203B0"/>
    <w:rsid w:val="69083E29"/>
    <w:rsid w:val="6D3D5519"/>
    <w:rsid w:val="77662E8F"/>
    <w:rsid w:val="780D320A"/>
    <w:rsid w:val="789C4ECC"/>
    <w:rsid w:val="78A467E1"/>
    <w:rsid w:val="7ED91F94"/>
    <w:rsid w:val="7F821F9D"/>
    <w:rsid w:val="FAB79922"/>
    <w:rsid w:val="FB5F19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1889</Words>
  <Characters>2070</Characters>
  <Lines>16</Lines>
  <Paragraphs>4</Paragraphs>
  <TotalTime>19</TotalTime>
  <ScaleCrop>false</ScaleCrop>
  <LinksUpToDate>false</LinksUpToDate>
  <CharactersWithSpaces>2074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2023-01-19T11:13:00Z</dcterms:created>
  <dc:creator>admin</dc:creator>
  <cp:lastModifiedBy>win10</cp:lastModifiedBy>
  <dcterms:modified xsi:type="dcterms:W3CDTF">2023-12-13T08:31:29Z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CA18FF60BF8B44BB96067C53FB8AFF14</vt:lpwstr>
  </property>
</Properties>
</file>