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一流的校园环境、一流的科研平台、一流的生源质量、一流的人才服务</w:t>
      </w:r>
    </w:p>
    <w:p>
      <w:pPr>
        <w:jc w:val="center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“职”等您来，擘画锦绣未来</w:t>
      </w:r>
    </w:p>
    <w:p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6"/>
          <w:szCs w:val="32"/>
        </w:rPr>
        <w:t>智汇电控|</w:t>
      </w:r>
      <w:r>
        <w:rPr>
          <w:rFonts w:ascii="仿宋_GB2312" w:eastAsia="仿宋_GB2312"/>
          <w:b/>
          <w:sz w:val="36"/>
          <w:szCs w:val="32"/>
        </w:rPr>
        <w:t>南京工业大学诚邀控制、电气类海内外优秀人才加盟</w:t>
      </w:r>
    </w:p>
    <w:p>
      <w:pPr>
        <w:jc w:val="center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（2</w:t>
      </w:r>
      <w:r>
        <w:rPr>
          <w:rFonts w:ascii="仿宋" w:hAnsi="仿宋" w:eastAsia="仿宋"/>
          <w:color w:val="272727"/>
          <w:sz w:val="32"/>
          <w:szCs w:val="32"/>
        </w:rPr>
        <w:t>022</w:t>
      </w:r>
      <w:r>
        <w:rPr>
          <w:rFonts w:hint="eastAsia" w:ascii="仿宋" w:hAnsi="仿宋" w:eastAsia="仿宋"/>
          <w:color w:val="272727"/>
          <w:sz w:val="32"/>
          <w:szCs w:val="32"/>
        </w:rPr>
        <w:t>年全年招聘）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firstLine="640" w:firstLineChars="200"/>
        <w:jc w:val="center"/>
        <w:rPr>
          <w:rFonts w:ascii="仿宋" w:hAnsi="仿宋" w:eastAsia="仿宋" w:cstheme="minorBidi"/>
          <w:color w:val="272727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272727"/>
          <w:kern w:val="2"/>
          <w:sz w:val="32"/>
          <w:szCs w:val="32"/>
        </w:rPr>
        <w:t>学校简介</w:t>
      </w:r>
    </w:p>
    <w:p>
      <w:pPr>
        <w:ind w:firstLine="64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南京工业大学具有百年办学历史，是首批入选国家“高等学校创新能力提升计划”（2011计划）的14所高校之一，是江苏高水平大学建设高峰计划A类建设高校。主校区江浦校区位于国家级新区南京江北新区核心腹地，被评为南京最美校园。学校综合实力强劲，2021年9月，泰晤士高等教育世界大学排名并列中国内地高校第50-72位；2021年12月，自然指数排名位列中国内地高校第32位；2021年8月，上海软科世界大学学术排名并列中国内地高校第36-57位。学校高举“明德、厚学、沉毅、笃行”之校训，坚持扎根中国大地办大学，坚持基础研究到产学研用双轮驱动，力求建设成国内一流国际知名创业型大学。</w:t>
      </w:r>
      <w:r>
        <w:t xml:space="preserve">  </w:t>
      </w:r>
    </w:p>
    <w:p>
      <w:pPr>
        <w:pStyle w:val="10"/>
        <w:spacing w:line="360" w:lineRule="auto"/>
        <w:ind w:firstLine="640" w:firstLineChars="200"/>
        <w:jc w:val="center"/>
        <w:rPr>
          <w:rFonts w:ascii="仿宋" w:hAnsi="仿宋" w:eastAsia="仿宋" w:cstheme="minorBidi"/>
          <w:color w:val="272727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272727"/>
          <w:kern w:val="2"/>
          <w:sz w:val="32"/>
          <w:szCs w:val="32"/>
        </w:rPr>
        <w:t>学院简介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电气工程与控制科学学院是全国党建工作标杆院系培育创建单位，现有教职工110余人，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各类省部级以上高层次人才及团队32人次（个），</w:t>
      </w:r>
      <w:r>
        <w:rPr>
          <w:rFonts w:hint="eastAsia" w:ascii="仿宋" w:hAnsi="仿宋" w:eastAsia="仿宋"/>
          <w:color w:val="272727"/>
          <w:sz w:val="32"/>
          <w:szCs w:val="32"/>
        </w:rPr>
        <w:t>已形成一支职称、学历、年龄结构较为合理的师资队伍。学院拥有</w:t>
      </w:r>
      <w:r>
        <w:rPr>
          <w:rFonts w:ascii="仿宋" w:hAnsi="仿宋" w:eastAsia="仿宋"/>
          <w:color w:val="272727"/>
          <w:sz w:val="32"/>
          <w:szCs w:val="32"/>
        </w:rPr>
        <w:t>1</w:t>
      </w:r>
      <w:r>
        <w:rPr>
          <w:rFonts w:hint="eastAsia" w:ascii="仿宋" w:hAnsi="仿宋" w:eastAsia="仿宋"/>
          <w:color w:val="272727"/>
          <w:sz w:val="32"/>
          <w:szCs w:val="32"/>
        </w:rPr>
        <w:t>个二级博士点、</w:t>
      </w:r>
      <w:r>
        <w:rPr>
          <w:rFonts w:ascii="仿宋" w:hAnsi="仿宋" w:eastAsia="仿宋"/>
          <w:color w:val="272727"/>
          <w:sz w:val="32"/>
          <w:szCs w:val="32"/>
        </w:rPr>
        <w:t>2</w:t>
      </w:r>
      <w:r>
        <w:rPr>
          <w:rFonts w:hint="eastAsia" w:ascii="仿宋" w:hAnsi="仿宋" w:eastAsia="仿宋"/>
          <w:color w:val="272727"/>
          <w:sz w:val="32"/>
          <w:szCs w:val="32"/>
        </w:rPr>
        <w:t>个一级学科硕士点、</w:t>
      </w:r>
      <w:r>
        <w:rPr>
          <w:rFonts w:ascii="仿宋" w:hAnsi="仿宋" w:eastAsia="仿宋"/>
          <w:color w:val="272727"/>
          <w:sz w:val="32"/>
          <w:szCs w:val="32"/>
        </w:rPr>
        <w:t>1</w:t>
      </w:r>
      <w:r>
        <w:rPr>
          <w:rFonts w:hint="eastAsia" w:ascii="仿宋" w:hAnsi="仿宋" w:eastAsia="仿宋"/>
          <w:color w:val="272727"/>
          <w:sz w:val="32"/>
          <w:szCs w:val="32"/>
        </w:rPr>
        <w:t>个专业学位点、6个本科专业。其中，自动化、电气工程及其自动化、测控技术与仪器、建筑电气与智能化均为国家一流本科专业。学院拥有“工业互联网+危化品安全生产”国家应急管理部重点实验室（共建）、江苏省绿色智能制造研究中心等省部级科研平台及</w:t>
      </w:r>
      <w:r>
        <w:rPr>
          <w:rFonts w:ascii="仿宋" w:hAnsi="仿宋" w:eastAsia="仿宋"/>
          <w:color w:val="272727"/>
          <w:sz w:val="32"/>
          <w:szCs w:val="32"/>
        </w:rPr>
        <w:t>8</w:t>
      </w:r>
      <w:r>
        <w:rPr>
          <w:rFonts w:hint="eastAsia" w:ascii="仿宋" w:hAnsi="仿宋" w:eastAsia="仿宋"/>
          <w:color w:val="272727"/>
          <w:sz w:val="32"/>
          <w:szCs w:val="32"/>
        </w:rPr>
        <w:t>个校级研究平台。</w:t>
      </w:r>
      <w:r>
        <w:rPr>
          <w:rFonts w:hint="eastAsia" w:ascii="仿宋" w:hAnsi="仿宋" w:eastAsia="仿宋"/>
          <w:color w:val="333333"/>
          <w:sz w:val="32"/>
          <w:szCs w:val="32"/>
        </w:rPr>
        <w:t>“十四五”期间，学院将坚持党建引领，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重点瞄准人才培养质量提升、教师教学科研能力提升、学科实力整体提升、产学研合作项目层次提升等四大领域，科学实施“一流专业高质量提升计划”、“人才汇智计划”、“卓越发展计划”、“合作聚力计划”等四项计划，着力建设国内电气工程与控制科学领域知名的高水平、创业型、新前沿学院。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/>
          <w:b/>
          <w:color w:val="272727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仿宋" w:hAnsi="仿宋" w:eastAsia="仿宋"/>
          <w:b/>
          <w:color w:val="272727"/>
          <w:sz w:val="32"/>
          <w:szCs w:val="32"/>
        </w:rPr>
        <w:t>招聘方向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控制科学与工程、控制理论及应用、智能检测与系统、智能制造、测控技术与仪器、机器人、计算机科学与技术、电气工程、电力系统及自动化、高电压等离子应用、电力电子、电机驱动控制、建筑电气与智能化、智能制造、人工智能等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仿宋" w:hAnsi="仿宋" w:eastAsia="仿宋"/>
          <w:b/>
          <w:color w:val="272727"/>
          <w:sz w:val="32"/>
          <w:szCs w:val="32"/>
        </w:rPr>
      </w:pPr>
      <w:r>
        <w:rPr>
          <w:rFonts w:hint="eastAsia" w:ascii="仿宋" w:hAnsi="仿宋" w:eastAsia="仿宋"/>
          <w:b/>
          <w:color w:val="272727"/>
          <w:sz w:val="32"/>
          <w:szCs w:val="32"/>
        </w:rPr>
        <w:t>二、人才引进条件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学院全年招聘教授、副教授、讲师、师资博士后等各类人才，条件如下：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（一）教授岗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 xml:space="preserve"> 1.国内外著名院校、科研院所教授（副教授）、研究员（副研究员）及知名企业研究员级高工等；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2.国家级、省部级重大人才项目、科研奖励获得者；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3.</w:t>
      </w:r>
      <w:r>
        <w:rPr>
          <w:rFonts w:ascii="仿宋" w:hAnsi="仿宋" w:eastAsia="仿宋"/>
          <w:color w:val="272727"/>
          <w:sz w:val="32"/>
          <w:szCs w:val="32"/>
        </w:rPr>
        <w:t xml:space="preserve"> 海内外优秀青年学者，已取得较为突出的科研成果，具备很好的发展潜力，引进后有望在聘期内获得高层次人才项目。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4. 其他特殊紧缺人才。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（二）副教授岗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ascii="仿宋" w:hAnsi="仿宋" w:eastAsia="仿宋"/>
          <w:color w:val="272727"/>
          <w:sz w:val="32"/>
          <w:szCs w:val="32"/>
        </w:rPr>
        <w:t>在海内外知名高校、科研机构或一流学科获得博士学 位，并在知名学术机构有两年及以上教学科研工作经历，具备较强的创新能力和较好的发展潜力。主持国家级科研项目 1 项；因在海外学习或工作时间较长而未能主持国家级科研项目者，相应高级别论文数量要求适当增加，年龄一般不超过 35 周岁。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（三）讲师岗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ascii="仿宋" w:hAnsi="仿宋" w:eastAsia="仿宋"/>
          <w:color w:val="272727"/>
          <w:sz w:val="32"/>
          <w:szCs w:val="32"/>
        </w:rPr>
        <w:t>在海内外知名高校、科研机构或一流学科获得博士学位，能胜任教师岗位要求且具备较高的创新能力和较好的发展潜力，年龄一般不超过 32 周岁。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（四）师资博士后岗</w:t>
      </w:r>
    </w:p>
    <w:p>
      <w:pPr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ascii="仿宋" w:hAnsi="仿宋" w:eastAsia="仿宋"/>
          <w:color w:val="272727"/>
          <w:sz w:val="32"/>
          <w:szCs w:val="32"/>
        </w:rPr>
        <w:t>在海内外知名高校、科研机构获得博士学位，具有较高的创新能力和较好的发展潜力，作为学校师资后背师资人才。</w:t>
      </w:r>
      <w:r>
        <w:rPr>
          <w:rFonts w:ascii="仿宋" w:hAnsi="仿宋" w:eastAsia="仿宋"/>
          <w:b/>
          <w:color w:val="272727"/>
          <w:sz w:val="32"/>
          <w:szCs w:val="32"/>
        </w:rPr>
        <w:t>师资博士后出站达到相应的</w:t>
      </w:r>
      <w:r>
        <w:rPr>
          <w:rFonts w:hint="eastAsia" w:ascii="仿宋" w:hAnsi="仿宋" w:eastAsia="仿宋"/>
          <w:b/>
          <w:color w:val="272727"/>
          <w:sz w:val="32"/>
          <w:szCs w:val="32"/>
        </w:rPr>
        <w:t>要求</w:t>
      </w:r>
      <w:r>
        <w:rPr>
          <w:rFonts w:ascii="仿宋" w:hAnsi="仿宋" w:eastAsia="仿宋"/>
          <w:b/>
          <w:color w:val="272727"/>
          <w:sz w:val="32"/>
          <w:szCs w:val="32"/>
        </w:rPr>
        <w:t>即可留校（享受副教授及以上人才待遇）。</w:t>
      </w:r>
    </w:p>
    <w:p>
      <w:pPr>
        <w:widowControl/>
        <w:shd w:val="clear" w:color="auto" w:fill="FFFFFF"/>
        <w:snapToGrid w:val="0"/>
        <w:spacing w:line="360" w:lineRule="auto"/>
        <w:ind w:firstLine="643" w:firstLineChars="200"/>
        <w:rPr>
          <w:rFonts w:ascii="仿宋" w:hAnsi="仿宋" w:eastAsia="仿宋"/>
          <w:b/>
          <w:color w:val="272727"/>
          <w:sz w:val="32"/>
          <w:szCs w:val="32"/>
        </w:rPr>
      </w:pPr>
      <w:r>
        <w:rPr>
          <w:rFonts w:hint="eastAsia" w:ascii="仿宋" w:hAnsi="仿宋" w:eastAsia="仿宋"/>
          <w:b/>
          <w:color w:val="272727"/>
          <w:sz w:val="32"/>
          <w:szCs w:val="32"/>
        </w:rPr>
        <w:t>三、人才支持条件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 w:cs="Times New Roman"/>
          <w:b/>
          <w:bCs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学校在人才引进（分类化引进、一体化建设、科学化考核）、人才服务（薪酬待遇、子女入学、安居乐业、健康工程）、人才发展（职业培训、学术交流、职称晋升、团队建设）等方面提供全方位政策保障，力求实现人才个人发展与学校、学院事业发展相互促进。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表1 高层次人才引进待遇标准</w:t>
      </w:r>
    </w:p>
    <w:tbl>
      <w:tblPr>
        <w:tblStyle w:val="6"/>
        <w:tblW w:w="5000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996"/>
        <w:gridCol w:w="1566"/>
        <w:gridCol w:w="2204"/>
        <w:gridCol w:w="228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6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人才层次/类别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薪酬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住房待遇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启动经费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第一层次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(杰出教授)</w:t>
            </w:r>
          </w:p>
        </w:tc>
        <w:tc>
          <w:tcPr>
            <w:tcW w:w="9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A类人才</w:t>
            </w:r>
          </w:p>
        </w:tc>
        <w:tc>
          <w:tcPr>
            <w:tcW w:w="605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有关薪酬、住房、启动经费、配偶子女安排、学术助手和行政秘书配备、工作时间等方面给予优惠，一人一议。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B类人才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协议工资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80-120万/年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200-300万住房补贴或校内人才公寓（150平米）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300-600万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第二层次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（教授）</w:t>
            </w:r>
          </w:p>
        </w:tc>
        <w:tc>
          <w:tcPr>
            <w:tcW w:w="9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A类人才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协议工资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36-60万/年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100-150万住房补贴或校内人才公寓（80平米）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100-300万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B类人才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协议工资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36-48万/年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60-100万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60-150万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C类人才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协议年薪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24-36万/年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50-80万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40-100万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第三层次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（副教授）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参照副教授相应岗位标准享受薪资待遇。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不超过50万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不超过40万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第四层次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（讲师）</w:t>
            </w:r>
          </w:p>
        </w:tc>
        <w:tc>
          <w:tcPr>
            <w:tcW w:w="15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参照讲师相应岗位标准享受薪资待遇。</w:t>
            </w:r>
          </w:p>
        </w:tc>
        <w:tc>
          <w:tcPr>
            <w:tcW w:w="22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不超过30万</w:t>
            </w:r>
          </w:p>
        </w:tc>
        <w:tc>
          <w:tcPr>
            <w:tcW w:w="228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不超过16万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博士后</w:t>
            </w:r>
          </w:p>
        </w:tc>
        <w:tc>
          <w:tcPr>
            <w:tcW w:w="605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1.学校待遇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（1）“笃行”博士后：面向博士毕业世界前100高校或中期考核优秀可转，待遇为25万/年、6万科启、2.4万/年房补、出站6万；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（2）师资博士后：待遇为20万/年、2万科启、2.4万/年房补、出站6万。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2.省博士后“卓博计划”：入选者在学校待遇基础上，省财政提供15万/年津贴，入选比例大。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“笃行”博士后、师资博士后出站后达到特优直接留学院，达到优秀、合格标准可重新参加学院面试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。</w:t>
            </w:r>
          </w:p>
        </w:tc>
      </w:tr>
    </w:tbl>
    <w:p>
      <w:pPr>
        <w:pStyle w:val="5"/>
        <w:shd w:val="clear" w:color="auto" w:fill="FFFFFF"/>
        <w:spacing w:line="480" w:lineRule="atLeas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line="480" w:lineRule="atLeast"/>
        <w:ind w:firstLine="705"/>
        <w:rPr>
          <w:rFonts w:ascii="仿宋" w:hAnsi="仿宋" w:eastAsia="仿宋" w:cstheme="minorBidi"/>
          <w:b/>
          <w:color w:val="272727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color w:val="272727"/>
          <w:kern w:val="2"/>
          <w:sz w:val="32"/>
          <w:szCs w:val="32"/>
        </w:rPr>
        <w:t>四、申请流程</w:t>
      </w:r>
    </w:p>
    <w:p>
      <w:pPr>
        <w:rPr>
          <w:rFonts w:hint="eastAsia"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申请人请准备：包含完整简历（建议注明微信号）、</w:t>
      </w:r>
      <w:r>
        <w:rPr>
          <w:rFonts w:ascii="仿宋" w:hAnsi="仿宋" w:eastAsia="仿宋"/>
          <w:color w:val="272727"/>
          <w:sz w:val="32"/>
          <w:szCs w:val="32"/>
        </w:rPr>
        <w:t>3-5</w:t>
      </w:r>
      <w:r>
        <w:rPr>
          <w:rFonts w:hint="eastAsia" w:ascii="仿宋" w:hAnsi="仿宋" w:eastAsia="仿宋"/>
          <w:color w:val="272727"/>
          <w:sz w:val="32"/>
          <w:szCs w:val="32"/>
        </w:rPr>
        <w:t>篇代表性论文、推荐信</w:t>
      </w:r>
      <w:r>
        <w:rPr>
          <w:rFonts w:ascii="仿宋" w:hAnsi="仿宋" w:eastAsia="仿宋"/>
          <w:color w:val="272727"/>
          <w:sz w:val="32"/>
          <w:szCs w:val="32"/>
        </w:rPr>
        <w:t>1</w:t>
      </w:r>
      <w:r>
        <w:rPr>
          <w:rFonts w:hint="eastAsia" w:ascii="仿宋" w:hAnsi="仿宋" w:eastAsia="仿宋"/>
          <w:color w:val="272727"/>
          <w:sz w:val="32"/>
          <w:szCs w:val="32"/>
        </w:rPr>
        <w:t>封等，打包发送至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ngjll@njtech.edu.cn,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instrText xml:space="preserve"> HYPERLINK "mailto:desitun@126.com" </w:instrTex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desitun@126.com</w:t>
      </w:r>
      <w:r>
        <w:rPr>
          <w:rStyle w:val="9"/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color w:val="272727"/>
          <w:sz w:val="32"/>
          <w:szCs w:val="32"/>
        </w:rPr>
        <w:t>。</w:t>
      </w:r>
    </w:p>
    <w:p>
      <w:pPr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邮件标题请注明“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南京工业大学电气工程与控制科学学院招聘教授/副教授/讲师/师资博士后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高等教育人才网</w:t>
      </w:r>
      <w:r>
        <w:rPr>
          <w:rFonts w:hint="eastAsia" w:ascii="仿宋" w:hAnsi="仿宋" w:eastAsia="仿宋"/>
          <w:color w:val="272727"/>
          <w:sz w:val="32"/>
          <w:szCs w:val="32"/>
        </w:rPr>
        <w:t>”。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联系人：计老师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电话：</w:t>
      </w:r>
      <w:r>
        <w:rPr>
          <w:rFonts w:ascii="仿宋" w:hAnsi="仿宋" w:eastAsia="仿宋"/>
          <w:color w:val="272727"/>
          <w:sz w:val="32"/>
          <w:szCs w:val="32"/>
        </w:rPr>
        <w:t>86-025-58139517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地址：江苏省南京市江北新区浦珠南路</w:t>
      </w:r>
      <w:r>
        <w:rPr>
          <w:rFonts w:ascii="仿宋" w:hAnsi="仿宋" w:eastAsia="仿宋"/>
          <w:color w:val="272727"/>
          <w:sz w:val="32"/>
          <w:szCs w:val="32"/>
        </w:rPr>
        <w:t>30</w:t>
      </w:r>
      <w:r>
        <w:rPr>
          <w:rFonts w:hint="eastAsia" w:ascii="仿宋" w:hAnsi="仿宋" w:eastAsia="仿宋"/>
          <w:color w:val="272727"/>
          <w:sz w:val="32"/>
          <w:szCs w:val="32"/>
        </w:rPr>
        <w:t>号南京工业大学电气工程与控制科学学院崇德楼</w:t>
      </w:r>
      <w:r>
        <w:rPr>
          <w:rFonts w:ascii="仿宋" w:hAnsi="仿宋" w:eastAsia="仿宋"/>
          <w:color w:val="272727"/>
          <w:sz w:val="32"/>
          <w:szCs w:val="32"/>
        </w:rPr>
        <w:t>D411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272727"/>
          <w:sz w:val="32"/>
          <w:szCs w:val="32"/>
        </w:rPr>
      </w:pPr>
      <w:r>
        <w:rPr>
          <w:rFonts w:hint="eastAsia" w:ascii="仿宋" w:hAnsi="仿宋" w:eastAsia="仿宋"/>
          <w:color w:val="272727"/>
          <w:sz w:val="32"/>
          <w:szCs w:val="32"/>
        </w:rPr>
        <w:t>学院官网：</w:t>
      </w:r>
      <w:r>
        <w:fldChar w:fldCharType="begin"/>
      </w:r>
      <w:r>
        <w:instrText xml:space="preserve"> HYPERLINK "http://eecs.njtech.edu.cn/" </w:instrText>
      </w:r>
      <w:r>
        <w:fldChar w:fldCharType="separate"/>
      </w:r>
      <w:r>
        <w:rPr>
          <w:rFonts w:ascii="仿宋" w:hAnsi="仿宋" w:eastAsia="仿宋"/>
          <w:color w:val="272727"/>
          <w:sz w:val="32"/>
          <w:szCs w:val="32"/>
        </w:rPr>
        <w:t>http://eecs.njtech.edu.cn/</w:t>
      </w:r>
      <w:r>
        <w:rPr>
          <w:rFonts w:ascii="仿宋" w:hAnsi="仿宋" w:eastAsia="仿宋"/>
          <w:color w:val="272727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C9344D"/>
    <w:rsid w:val="00081DE0"/>
    <w:rsid w:val="0008284B"/>
    <w:rsid w:val="00092343"/>
    <w:rsid w:val="000E5DD1"/>
    <w:rsid w:val="00131EFC"/>
    <w:rsid w:val="00161291"/>
    <w:rsid w:val="00186159"/>
    <w:rsid w:val="00215F28"/>
    <w:rsid w:val="00251AAE"/>
    <w:rsid w:val="003036A3"/>
    <w:rsid w:val="00363FBC"/>
    <w:rsid w:val="003D3B03"/>
    <w:rsid w:val="00412209"/>
    <w:rsid w:val="00496AE9"/>
    <w:rsid w:val="004E45B0"/>
    <w:rsid w:val="004F045E"/>
    <w:rsid w:val="0050124F"/>
    <w:rsid w:val="0055036D"/>
    <w:rsid w:val="00590A06"/>
    <w:rsid w:val="005A753C"/>
    <w:rsid w:val="005D417E"/>
    <w:rsid w:val="005F389C"/>
    <w:rsid w:val="00642F84"/>
    <w:rsid w:val="0064502E"/>
    <w:rsid w:val="00646744"/>
    <w:rsid w:val="006F5F0D"/>
    <w:rsid w:val="00734682"/>
    <w:rsid w:val="007A3C11"/>
    <w:rsid w:val="00801104"/>
    <w:rsid w:val="00872700"/>
    <w:rsid w:val="00906C0D"/>
    <w:rsid w:val="00955FAD"/>
    <w:rsid w:val="00AA7E34"/>
    <w:rsid w:val="00AB142D"/>
    <w:rsid w:val="00AE1BE1"/>
    <w:rsid w:val="00C34958"/>
    <w:rsid w:val="00C54744"/>
    <w:rsid w:val="00C9344D"/>
    <w:rsid w:val="00D436A6"/>
    <w:rsid w:val="00DD7F29"/>
    <w:rsid w:val="00EC7C9D"/>
    <w:rsid w:val="00EE4E71"/>
    <w:rsid w:val="00F37188"/>
    <w:rsid w:val="00F82CFC"/>
    <w:rsid w:val="00FE6D8D"/>
    <w:rsid w:val="00FF2B55"/>
    <w:rsid w:val="26FD1264"/>
    <w:rsid w:val="2AD80203"/>
    <w:rsid w:val="466856DC"/>
    <w:rsid w:val="4F960564"/>
    <w:rsid w:val="700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C8E3-C652-407B-8C61-0053127537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2035</Characters>
  <Lines>16</Lines>
  <Paragraphs>4</Paragraphs>
  <TotalTime>0</TotalTime>
  <ScaleCrop>false</ScaleCrop>
  <LinksUpToDate>false</LinksUpToDate>
  <CharactersWithSpaces>2388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2021-07-09T05:32:00Z</dcterms:created>
  <dc:creator>jilonglong</dc:creator>
  <cp:lastModifiedBy>win10</cp:lastModifiedBy>
  <cp:lastPrinted>2022-09-18T02:48:00Z</cp:lastPrinted>
  <dcterms:modified xsi:type="dcterms:W3CDTF">2022-09-30T08:44:09Z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AAE07E529D044D7EBC79E93E1BEF7C42</vt:lpwstr>
  </property>
</Properties>
</file>