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2" w:firstLineChars="20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E75B6" w:themeColor="accent1" w:themeShade="BF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E75B6" w:themeColor="accent1" w:themeShade="BF"/>
          <w:spacing w:val="0"/>
          <w:sz w:val="28"/>
          <w:szCs w:val="28"/>
          <w:shd w:val="clear" w:fill="FFFFFF"/>
        </w:rPr>
        <w:t>中建方圆华东城市开发建设有限公司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E75B6" w:themeColor="accent1" w:themeShade="BF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E75B6" w:themeColor="accent1" w:themeShade="BF"/>
          <w:spacing w:val="0"/>
          <w:sz w:val="28"/>
          <w:szCs w:val="28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E75B6" w:themeColor="accent1" w:themeShade="BF"/>
          <w:spacing w:val="0"/>
          <w:sz w:val="28"/>
          <w:szCs w:val="28"/>
          <w:shd w:val="clear" w:fill="FFFFFF"/>
          <w:lang w:val="en-US" w:eastAsia="zh-CN"/>
        </w:rPr>
        <w:t>3届“开拓者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E75B6" w:themeColor="accent1" w:themeShade="BF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E75B6" w:themeColor="accent1" w:themeShade="BF"/>
          <w:spacing w:val="0"/>
          <w:sz w:val="28"/>
          <w:szCs w:val="28"/>
          <w:shd w:val="clear" w:fill="FFFFFF"/>
        </w:rPr>
        <w:t>校园招聘简章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一、企业简介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中建方圆华东城市开发建设有限公司是世界500强企业排名第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、全球排名第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的投资建设集团——中国建筑集团有限公司下属三级独立法人单位，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中国建筑集团最年轻三级子企业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中国建筑集团唯一一家以“城市更新”为主营业务三级单位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eastAsia="zh-CN" w:bidi="ar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是中国建筑装饰集团有限公司全资子公司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中建装饰集团第二总部。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为响应“城市更新行动”战略，公司于2021年6月正式揭牌成立，总部位于江苏省苏州市。公司是中建集团唯一一家以“城市更新及建筑改造”为主营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业务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的法人单位。公司已与苏州姑苏区人民政府签订战略合作框架协议，重点推进旧城改造、古城更新等业务。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“十四五”期间，聚焦服务国家战略，建立“1+3+X”市场布局，即：扎根苏州，辐射周边；布局粤港澳大湾区、长三角、成渝三大区域；适时进入西安、郑州、南昌、石家庄、济南等热点城市。公司将紧密围绕“一个核心两条主线全面带动”的发展思路，以投融资拉动城市更新为核心业务；以公投+基础设施，国资、优质客户房建+专业双轮驱动为主线业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公司正处于快速发展期，在这里我们能提供迅速成长成才的平台，希望优秀的你能够加入，按照公司“一年成长，三年成才，五年成器”的“135”人才培养路径，与企业一道迅速成长、发展，筑梦城开，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共创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未来！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（一）企业资质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包括建筑工程施工总承包、市政工程总承包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一级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资质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装饰、城市及道路照等专业施工甲级资质。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（二）核心竞争力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1.“三全”总承包服务能力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2.科技创新牵引发展能力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3.高端设计牵引主业能力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4.项目“快周转”建造能力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5.产品工业化和装配式能力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6.资本运作和投资能力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7.项目咨询和运营能力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8.高满意度的客户服务能力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二、岗位需求</w:t>
      </w:r>
    </w:p>
    <w:tbl>
      <w:tblPr>
        <w:tblStyle w:val="3"/>
        <w:tblW w:w="9097" w:type="dxa"/>
        <w:jc w:val="center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single" w:color="CCCCCC" w:sz="4" w:space="0"/>
          <w:insideV w:val="single" w:color="CCCCCC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666"/>
        <w:gridCol w:w="1633"/>
        <w:gridCol w:w="6163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single" w:color="CCCCCC" w:sz="4" w:space="0"/>
            <w:insideV w:val="single" w:color="CCCCCC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rFonts w:hint="default" w:ascii="Helvetica Bold" w:hAnsi="Helvetica Bold" w:eastAsia="Helvetica" w:cs="Helvetica Bold"/>
                <w:b/>
                <w:bCs/>
                <w:i w:val="0"/>
                <w:iCs w:val="0"/>
                <w:caps w:val="0"/>
                <w:color w:val="2E75B6" w:themeColor="accent1" w:themeShade="BF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i w:val="0"/>
                <w:iCs w:val="0"/>
                <w:caps w:val="0"/>
                <w:color w:val="2E75B6" w:themeColor="accent1" w:themeShade="BF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aps w:val="0"/>
                <w:color w:val="2E75B6" w:themeColor="accent1" w:themeShade="BF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i w:val="0"/>
                <w:iCs w:val="0"/>
                <w:caps w:val="0"/>
                <w:color w:val="2E75B6" w:themeColor="accent1" w:themeShade="BF"/>
                <w:spacing w:val="0"/>
                <w:sz w:val="24"/>
                <w:szCs w:val="24"/>
                <w:shd w:val="clear" w:fill="FFFFFF"/>
                <w:lang w:val="en-US" w:eastAsia="zh-CN"/>
              </w:rPr>
              <w:t>需求方向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aps w:val="0"/>
                <w:color w:val="2E75B6" w:themeColor="accent1" w:themeShade="BF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i w:val="0"/>
                <w:iCs w:val="0"/>
                <w:caps w:val="0"/>
                <w:color w:val="2E75B6" w:themeColor="accent1" w:themeShade="BF"/>
                <w:spacing w:val="0"/>
                <w:sz w:val="24"/>
                <w:szCs w:val="24"/>
                <w:shd w:val="clear" w:fill="FFFFFF"/>
                <w:lang w:val="en-US" w:eastAsia="zh-CN"/>
              </w:rPr>
              <w:t>需求专业细分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single" w:color="CCCCCC" w:sz="4" w:space="0"/>
            <w:insideV w:val="single" w:color="CCCCCC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5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1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业务类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工程履约、造价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岗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right="0"/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土木工程、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工程管理、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工程造价、工程力学、国际工程管理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电气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工程及其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自动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化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、给排水工程、暖通及相关专业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建筑与能源工程管理、机械及其自动化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测量工程、测绘工程、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材料工程等专业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single" w:color="CCCCCC" w:sz="4" w:space="0"/>
            <w:insideV w:val="single" w:color="CCCCCC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92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安全管理岗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安全工程、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安全科学与工程、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机械工程等专业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single" w:color="CCCCCC" w:sz="4" w:space="0"/>
            <w:insideV w:val="single" w:color="CCCCCC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职能类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财务管理岗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会计学、财务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管理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、税法等专业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single" w:color="CCCCCC" w:sz="4" w:space="0"/>
            <w:insideV w:val="single" w:color="CCCCCC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3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leftChars="0" w:right="0" w:rightChars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管理岗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33" w:type="dxa"/>
              <w:left w:w="55" w:type="dxa"/>
              <w:bottom w:w="33" w:type="dxa"/>
              <w:right w:w="5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111" w:afterAutospacing="0" w:line="240" w:lineRule="auto"/>
              <w:ind w:left="0" w:right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汉语言文学、人力资源管理、行政管理、社会学、新闻学、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0"/>
                <w:szCs w:val="20"/>
              </w:rPr>
              <w:t>公共管理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0"/>
                <w:szCs w:val="20"/>
                <w:lang w:val="en-US" w:eastAsia="zh-CN"/>
              </w:rPr>
              <w:t>档案管理等专业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三、应聘要求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1.学历：202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年应届大学本科及以上毕业生，中共党员、学生干部优先录取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2.其他要求：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（1）在校期间学习成绩良好，专业课程无补考；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（2）本科生英语四级以上，研究生英语六级以上水平；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（3）身体健康，形象气质良好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有较强的语言表达能力和人际关系处理能力，较好的学习能力和实践能力；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（4）具有良好的个人修养，在校期间无不良记录，热爱建筑事业，愿意与企业共同成长；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（5）自律性强、能吃苦耐劳,乐观、积极向上。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具有强烈的责任感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与吃苦耐劳的品格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，愿意从基层项目做起，有较强的团队合作精神。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四、薪酬福利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1.科学完备的职级晋升体系及教育培训体系；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2.有竞争力的薪酬体系(年薪收入1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万-1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万)，各类过程及结果兑现奖金；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3.丰富立体的职工福利保障体系，包括六险二金；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4.新员工入职住房保障及入职培训；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5.丰富多彩的文体、团队活动；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6.可提供北京、苏州户口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Hans"/>
        </w:rPr>
        <w:t>.补贴安家费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Hans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Hans"/>
        </w:rPr>
        <w:t>万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五、人才培养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公司具有完善的人才培养机制和职业发展通道，为职工成长成才保驾护航。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Hans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培养机制：入职培训、导师带徒、“135”人才培养计划、各体系专业培训、轮岗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培训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、执业资格证书考试培训、现场观摩交流等培训活动，助你快速融入公司环境、熟悉工作流程、提升工作技能，轻松变身职场达人。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2.成长体系：为培养选拔优秀年轻干部，结合人才成长轨迹和岗位类别，分别设置了“管理序列、专业序列、项目经理序列”三大序列人才成长通道，支持跨序列转换，全方位、多层次保障员工职业生涯发展。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成长优势明显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：公司处于快速发展阶段，员工的成长机会及速度相较同类型单位竞争优势明显。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六、招聘流程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（一）简历投递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1.网络申请：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720" w:firstLineChars="3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E75B6" w:themeColor="accent1" w:themeShade="B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邮箱投递：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E75B6" w:themeColor="accent1" w:themeShade="BF"/>
          <w:spacing w:val="0"/>
          <w:sz w:val="24"/>
          <w:szCs w:val="24"/>
          <w:shd w:val="clear" w:fill="FFFFFF"/>
        </w:rPr>
        <w:t>renliziyuan@cscec.com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简历请命名“202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校招+姓名+学校专业”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现场投递：携带简历、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中建人才测评成绩、就业推荐表、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成绩单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各类获奖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资料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直接赴招聘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宣讲会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现场报名参加。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（二）测评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1.中国建筑高校毕业生测评报名入口：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890FF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1890FF"/>
          <w:spacing w:val="0"/>
          <w:sz w:val="24"/>
          <w:szCs w:val="24"/>
          <w:u w:val="single"/>
          <w:shd w:val="clear" w:fill="FFFFFF"/>
        </w:rPr>
        <w:instrText xml:space="preserve"> HYPERLINK "http://cscec.zhiye.com/Portal/Account/Login?returnUrl=http://cscec.zhiye.com/Portal/Resume/ResumeItem?r=%2Fzxsq%3FjobId%3D390391330&amp;jid=390391330" \t "http://jiangnan.91job.org.cn/dwpage/zpxx/_blank"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1890FF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1890FF"/>
          <w:spacing w:val="0"/>
          <w:sz w:val="24"/>
          <w:szCs w:val="24"/>
          <w:u w:val="single"/>
          <w:shd w:val="clear" w:fill="FFFFFF"/>
        </w:rPr>
        <w:t>http://cscec.zhiye.com/Portal/Account/Login</w:t>
      </w:r>
      <w:r>
        <w:rPr>
          <w:rFonts w:hint="eastAsia" w:ascii="宋体" w:hAnsi="宋体" w:eastAsia="宋体" w:cs="宋体"/>
          <w:i w:val="0"/>
          <w:iCs w:val="0"/>
          <w:caps w:val="0"/>
          <w:color w:val="1890FF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2.测评流程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线上报名-&gt;&gt;完成第一轮测试-&gt;&gt;在规定时间完成线上第二轮测试-&gt;&gt;查看及打印测试成绩单-&gt;&gt;携带测试成绩参加面试。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（三）面试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（1）宣讲会将组织现场面试，请携带简历及相关资料现场面试。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（2）根据筛选的简历情况，组织面试。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四）签约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与意向学生签约二方协议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（2）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签约三方协议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七、联系方式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联系电话：0512-69321626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邮编：215101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地址：江苏省苏州市姑苏区劳动路燃气大厦13层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0"/>
          <w:sz w:val="24"/>
          <w:szCs w:val="24"/>
          <w:highlight w:val="yellow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 Bold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7366E"/>
    <w:multiLevelType w:val="singleLevel"/>
    <w:tmpl w:val="C3C7366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TY4ZTQ3NzgwYzA3M2U5YTM5NGE2ODk3MjQwMWMifQ=="/>
  </w:docVars>
  <w:rsids>
    <w:rsidRoot w:val="616C15D8"/>
    <w:rsid w:val="00100BA1"/>
    <w:rsid w:val="01422176"/>
    <w:rsid w:val="018067FB"/>
    <w:rsid w:val="02072A78"/>
    <w:rsid w:val="02331ABF"/>
    <w:rsid w:val="02460825"/>
    <w:rsid w:val="027125E7"/>
    <w:rsid w:val="02AA3432"/>
    <w:rsid w:val="03374730"/>
    <w:rsid w:val="034877EC"/>
    <w:rsid w:val="03504227"/>
    <w:rsid w:val="03EB3969"/>
    <w:rsid w:val="041026B2"/>
    <w:rsid w:val="04131BA8"/>
    <w:rsid w:val="042B5143"/>
    <w:rsid w:val="04653B2A"/>
    <w:rsid w:val="04FA68C4"/>
    <w:rsid w:val="06874187"/>
    <w:rsid w:val="07AF6526"/>
    <w:rsid w:val="07B13BB2"/>
    <w:rsid w:val="08AC25CB"/>
    <w:rsid w:val="09175C96"/>
    <w:rsid w:val="0921373F"/>
    <w:rsid w:val="0983157E"/>
    <w:rsid w:val="09E105A8"/>
    <w:rsid w:val="0AB063A2"/>
    <w:rsid w:val="0ABA052C"/>
    <w:rsid w:val="0B3348DE"/>
    <w:rsid w:val="0C205363"/>
    <w:rsid w:val="0CB16402"/>
    <w:rsid w:val="0D1D6E5E"/>
    <w:rsid w:val="0D7923FE"/>
    <w:rsid w:val="0D8458C4"/>
    <w:rsid w:val="0DEF3BCE"/>
    <w:rsid w:val="0E083DE0"/>
    <w:rsid w:val="0E0E76D4"/>
    <w:rsid w:val="0E3A42EE"/>
    <w:rsid w:val="0E7C574F"/>
    <w:rsid w:val="0EF86485"/>
    <w:rsid w:val="0F56644D"/>
    <w:rsid w:val="0F8E186A"/>
    <w:rsid w:val="0FD755C8"/>
    <w:rsid w:val="105E45D8"/>
    <w:rsid w:val="10A26163"/>
    <w:rsid w:val="11850DAB"/>
    <w:rsid w:val="11963E18"/>
    <w:rsid w:val="1204785F"/>
    <w:rsid w:val="12A52565"/>
    <w:rsid w:val="12BE3627"/>
    <w:rsid w:val="13451F7A"/>
    <w:rsid w:val="14386208"/>
    <w:rsid w:val="151A6EAB"/>
    <w:rsid w:val="15DD5B72"/>
    <w:rsid w:val="170B2A45"/>
    <w:rsid w:val="176A1687"/>
    <w:rsid w:val="19022B4E"/>
    <w:rsid w:val="19472083"/>
    <w:rsid w:val="19766A09"/>
    <w:rsid w:val="197762DD"/>
    <w:rsid w:val="1A5F124B"/>
    <w:rsid w:val="1ACA63C5"/>
    <w:rsid w:val="1B0164C0"/>
    <w:rsid w:val="1B5B50CB"/>
    <w:rsid w:val="1C5823F6"/>
    <w:rsid w:val="1CA50114"/>
    <w:rsid w:val="1CA738CF"/>
    <w:rsid w:val="1CC04C62"/>
    <w:rsid w:val="1CD37CCF"/>
    <w:rsid w:val="1DFE6FCD"/>
    <w:rsid w:val="1E524AE9"/>
    <w:rsid w:val="1E6A169D"/>
    <w:rsid w:val="1FA12306"/>
    <w:rsid w:val="1FD20711"/>
    <w:rsid w:val="1FDA2CAF"/>
    <w:rsid w:val="207D68CF"/>
    <w:rsid w:val="209B4F30"/>
    <w:rsid w:val="21120FD0"/>
    <w:rsid w:val="21F80AB3"/>
    <w:rsid w:val="224F1BA5"/>
    <w:rsid w:val="227455E2"/>
    <w:rsid w:val="23203542"/>
    <w:rsid w:val="234E4D5F"/>
    <w:rsid w:val="246A44A0"/>
    <w:rsid w:val="252C4420"/>
    <w:rsid w:val="267E20B8"/>
    <w:rsid w:val="26BD1A51"/>
    <w:rsid w:val="272D447F"/>
    <w:rsid w:val="275013B7"/>
    <w:rsid w:val="281C4C20"/>
    <w:rsid w:val="289742A6"/>
    <w:rsid w:val="293D6BFB"/>
    <w:rsid w:val="29D15E68"/>
    <w:rsid w:val="29E74DB9"/>
    <w:rsid w:val="2B0674C1"/>
    <w:rsid w:val="2B177920"/>
    <w:rsid w:val="2BB533C1"/>
    <w:rsid w:val="2C26606D"/>
    <w:rsid w:val="2C8E3C12"/>
    <w:rsid w:val="2FA572A9"/>
    <w:rsid w:val="2FC242FE"/>
    <w:rsid w:val="2FE94AE6"/>
    <w:rsid w:val="2FF21544"/>
    <w:rsid w:val="303124B8"/>
    <w:rsid w:val="318E6A13"/>
    <w:rsid w:val="3227669B"/>
    <w:rsid w:val="32942622"/>
    <w:rsid w:val="32AC051E"/>
    <w:rsid w:val="33523DE8"/>
    <w:rsid w:val="34541FE4"/>
    <w:rsid w:val="34876DAC"/>
    <w:rsid w:val="352D70EB"/>
    <w:rsid w:val="352E01BD"/>
    <w:rsid w:val="35426CC9"/>
    <w:rsid w:val="35CF5B38"/>
    <w:rsid w:val="3628452A"/>
    <w:rsid w:val="36B256D0"/>
    <w:rsid w:val="37841E99"/>
    <w:rsid w:val="37A87E41"/>
    <w:rsid w:val="38703F75"/>
    <w:rsid w:val="3894610C"/>
    <w:rsid w:val="391020E2"/>
    <w:rsid w:val="39A46823"/>
    <w:rsid w:val="39A84565"/>
    <w:rsid w:val="3AAA3049"/>
    <w:rsid w:val="3AB1520D"/>
    <w:rsid w:val="3C256F8C"/>
    <w:rsid w:val="3C671BEE"/>
    <w:rsid w:val="3C6A3D54"/>
    <w:rsid w:val="3CEF6007"/>
    <w:rsid w:val="3D385C00"/>
    <w:rsid w:val="3D98669F"/>
    <w:rsid w:val="3E29390D"/>
    <w:rsid w:val="3F373C95"/>
    <w:rsid w:val="3F8845D3"/>
    <w:rsid w:val="3FF85D15"/>
    <w:rsid w:val="403E177F"/>
    <w:rsid w:val="40625AF1"/>
    <w:rsid w:val="41AF2209"/>
    <w:rsid w:val="421D510F"/>
    <w:rsid w:val="42B06238"/>
    <w:rsid w:val="42B47598"/>
    <w:rsid w:val="42F02AD9"/>
    <w:rsid w:val="432840F0"/>
    <w:rsid w:val="438A6A89"/>
    <w:rsid w:val="43DA13F7"/>
    <w:rsid w:val="440119E9"/>
    <w:rsid w:val="443609BF"/>
    <w:rsid w:val="44461F85"/>
    <w:rsid w:val="444A7BAE"/>
    <w:rsid w:val="447272EF"/>
    <w:rsid w:val="449F0313"/>
    <w:rsid w:val="44AC6153"/>
    <w:rsid w:val="45232CF2"/>
    <w:rsid w:val="45ED07F4"/>
    <w:rsid w:val="47650995"/>
    <w:rsid w:val="48A95C04"/>
    <w:rsid w:val="48D31FB2"/>
    <w:rsid w:val="48E1714C"/>
    <w:rsid w:val="49707B01"/>
    <w:rsid w:val="499E503D"/>
    <w:rsid w:val="4A9C3931"/>
    <w:rsid w:val="4ABE60C9"/>
    <w:rsid w:val="4AFD3FE5"/>
    <w:rsid w:val="4CAE37E9"/>
    <w:rsid w:val="4CC70020"/>
    <w:rsid w:val="4D146BAF"/>
    <w:rsid w:val="4D3A32CE"/>
    <w:rsid w:val="4D59155B"/>
    <w:rsid w:val="4DE65204"/>
    <w:rsid w:val="4E3917D8"/>
    <w:rsid w:val="4FB828C1"/>
    <w:rsid w:val="50181001"/>
    <w:rsid w:val="508036EE"/>
    <w:rsid w:val="50B272A6"/>
    <w:rsid w:val="519E197C"/>
    <w:rsid w:val="51EE6395"/>
    <w:rsid w:val="521B50F3"/>
    <w:rsid w:val="525B49CA"/>
    <w:rsid w:val="52A66D10"/>
    <w:rsid w:val="53626770"/>
    <w:rsid w:val="54171F1E"/>
    <w:rsid w:val="54413194"/>
    <w:rsid w:val="544D54D0"/>
    <w:rsid w:val="54B5382C"/>
    <w:rsid w:val="550541C2"/>
    <w:rsid w:val="589E1C03"/>
    <w:rsid w:val="58BA0596"/>
    <w:rsid w:val="59617E35"/>
    <w:rsid w:val="598C1189"/>
    <w:rsid w:val="5A2B15D1"/>
    <w:rsid w:val="5A4100FB"/>
    <w:rsid w:val="5A517EA9"/>
    <w:rsid w:val="5BB22BCA"/>
    <w:rsid w:val="5C747B79"/>
    <w:rsid w:val="5E3228B6"/>
    <w:rsid w:val="5E4A70E9"/>
    <w:rsid w:val="5EB804F7"/>
    <w:rsid w:val="5F492843"/>
    <w:rsid w:val="5FE33E9C"/>
    <w:rsid w:val="60310561"/>
    <w:rsid w:val="6031230F"/>
    <w:rsid w:val="60C56EFB"/>
    <w:rsid w:val="61136F6B"/>
    <w:rsid w:val="616A7570"/>
    <w:rsid w:val="616C15D8"/>
    <w:rsid w:val="617601FF"/>
    <w:rsid w:val="61B9080E"/>
    <w:rsid w:val="62075849"/>
    <w:rsid w:val="621E68C3"/>
    <w:rsid w:val="628078E8"/>
    <w:rsid w:val="629879FA"/>
    <w:rsid w:val="62AB7DAA"/>
    <w:rsid w:val="62BA90A5"/>
    <w:rsid w:val="64316E1E"/>
    <w:rsid w:val="64C52EB1"/>
    <w:rsid w:val="650178AE"/>
    <w:rsid w:val="65290768"/>
    <w:rsid w:val="652F20CA"/>
    <w:rsid w:val="65870EF0"/>
    <w:rsid w:val="669C6EDE"/>
    <w:rsid w:val="66AF141C"/>
    <w:rsid w:val="66C10AD7"/>
    <w:rsid w:val="66DE0D17"/>
    <w:rsid w:val="66F67E0E"/>
    <w:rsid w:val="674D37A6"/>
    <w:rsid w:val="677B6565"/>
    <w:rsid w:val="68630437"/>
    <w:rsid w:val="695D22E8"/>
    <w:rsid w:val="69A633E6"/>
    <w:rsid w:val="69E77EE2"/>
    <w:rsid w:val="6CAC43CA"/>
    <w:rsid w:val="6D237483"/>
    <w:rsid w:val="6DFC2DAB"/>
    <w:rsid w:val="6E26027B"/>
    <w:rsid w:val="6EFC7F8C"/>
    <w:rsid w:val="712C60E5"/>
    <w:rsid w:val="71955AA3"/>
    <w:rsid w:val="7214383E"/>
    <w:rsid w:val="726C71D7"/>
    <w:rsid w:val="72B50C0E"/>
    <w:rsid w:val="72BA15AC"/>
    <w:rsid w:val="738F5872"/>
    <w:rsid w:val="75A373B3"/>
    <w:rsid w:val="75AF7B75"/>
    <w:rsid w:val="76627753"/>
    <w:rsid w:val="76B63116"/>
    <w:rsid w:val="77FB2B29"/>
    <w:rsid w:val="7A543574"/>
    <w:rsid w:val="7A7C4677"/>
    <w:rsid w:val="7A972B6D"/>
    <w:rsid w:val="7AED3BD2"/>
    <w:rsid w:val="7B8309A3"/>
    <w:rsid w:val="7BA43E85"/>
    <w:rsid w:val="7D7111E2"/>
    <w:rsid w:val="7D8C61EC"/>
    <w:rsid w:val="7D987954"/>
    <w:rsid w:val="7E221091"/>
    <w:rsid w:val="7E374B3D"/>
    <w:rsid w:val="7F544EBF"/>
    <w:rsid w:val="EFFE48C2"/>
    <w:rsid w:val="FFD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1828</Words>
  <Characters>1964</Characters>
  <Lines>0</Lines>
  <Paragraphs>0</Paragraphs>
  <TotalTime>1025</TotalTime>
  <ScaleCrop>false</ScaleCrop>
  <LinksUpToDate>false</LinksUpToDate>
  <CharactersWithSpaces>1965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2021-09-30T20:20:00Z</dcterms:created>
  <dc:creator>徐瞿</dc:creator>
  <cp:lastModifiedBy>Born to be</cp:lastModifiedBy>
  <dcterms:modified xsi:type="dcterms:W3CDTF">2022-08-26T09:42:28Z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B5BD697CF6D64AE8AB53DF1A066CF2F6</vt:lpwstr>
  </property>
</Properties>
</file>