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left="227" w:right="227"/>
        <w:jc w:val="center"/>
        <w:outlineLvl w:val="1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中建三局第三建设工程有限责任公司</w:t>
      </w:r>
    </w:p>
    <w:p>
      <w:pPr>
        <w:widowControl/>
        <w:spacing w:line="520" w:lineRule="atLeast"/>
        <w:ind w:left="227" w:right="227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届高校毕业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招聘简章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ascii="黑体" w:hAnsi="黑体" w:eastAsia="黑体" w:cs="黑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  <w:t>一、公司简介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pacing w:val="-6"/>
          <w:sz w:val="30"/>
          <w:szCs w:val="30"/>
        </w:rPr>
        <w:t>中建三局第三建设工程有限责任公司是世界500强企业中建集团旗下中建三局的全资子公司，自1953年12月成立至今，始终以“听党指挥，建设祖国”为最高使命，是中建集团首家取得“三特三甲”资质的号码公司</w:t>
      </w:r>
      <w:r>
        <w:rPr>
          <w:rFonts w:hint="eastAsia" w:ascii="仿宋_GB2312" w:hAnsi="仿宋_GB2312" w:eastAsia="仿宋_GB2312" w:cs="仿宋_GB2312"/>
          <w:color w:val="333333"/>
          <w:spacing w:val="-6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-6"/>
          <w:sz w:val="30"/>
          <w:szCs w:val="30"/>
        </w:rPr>
        <w:t>在“十三五”期间累计新签合同额3043亿元、营业收入1462亿元</w:t>
      </w:r>
      <w:r>
        <w:rPr>
          <w:rFonts w:hint="eastAsia" w:ascii="仿宋_GB2312" w:hAnsi="仿宋_GB2312" w:eastAsia="仿宋_GB2312" w:cs="仿宋_GB2312"/>
          <w:color w:val="333333"/>
          <w:spacing w:val="-6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-6"/>
          <w:sz w:val="30"/>
          <w:szCs w:val="30"/>
        </w:rPr>
        <w:t>致力于成为最具价值创造力的国内领先、中建顶尖的建筑综合服务商。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ascii="黑体" w:hAnsi="黑体" w:eastAsia="黑体" w:cs="黑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  <w:t>二、企业实力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1.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我们是中建集团首家取得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“三特三甲”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资质的号码公司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。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中建三局三公司是中建集团首家拥有行业顶尖“三特三甲”企业资质的三级单位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。69年历史积累深厚，“三特三甲”资质齐全，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公司深化拓展业务领域，形成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建筑行业全产业链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布局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，致力成为最具价值创造力的中建顶尖、国际领先的建筑综合服务商。主营业务全产业链布局，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涵盖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高端房建、基础设施（市政道路、大型桥梁、地下空间、机场站房、轨道交通等）、专业建造（高端机电安装、工业厂房、高级装饰、石油化工等）、国际业务、设计业务、投融资业务；新兴业务领域拼闯进发，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推进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融建业务、绿色产业、建筑科技产业化；优势产品线行业领先，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塑强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桥梁产品线、机场产品线、石化产品线、融建产品线、海外产品线。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2.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我们是国家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高新技术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企业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。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中建三局三公司是国家高新技术企业，一直走在行业巅峰前列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拥有近50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项中国建筑工程鲁班奖、中国国家优质工程奖，400余项省部级优质工程奖；拥有100余项核心技术，200余项国家专利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荣获中国建筑业创鲁班奖工程特别荣誉企业称号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。在超高层、大型桥梁、轨道交通及地下空间、山岭隧道、石油化工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等“高大精尖”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领域均拥有多项核心技术。同时，积极探索建筑4.0时代，在BIM技术、绿色建造、建筑工业化等行业前沿逐渐形成比较优势。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3.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我们积极承担社会责任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。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中建三局三公司脱胎于解放军工程兵，始终传承争先品格，赓续军魂血脉，在时代浪潮的洗礼中前进。从投身“一五”“二五”计划和“三线建设”，在火红年代锻造红色基因；到逐浪改革大潮，在市场熔炉铸就争先品格；再到参与“两山”医院建设，在抗疫一线淬炼初心本色。10天建成火神山医院，12天建成雷神山医院，历时100天和86天完成全球首个新冠疫苗研发实验室和生产车间建设任务，援建多地方舱医院，以生命赴使命，用平凡筑不凡。近70年来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公司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积极承担社会责任，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荣获全国文明单位、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全国五一劳动奖状、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全国守合同重信用企业、全国用户满意施工企业、全国优秀施工企业、全国建筑业AAA信用企业、中国建筑业竞争力200强企业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中央企业先进基层党组织、首批全国建筑业文化建设示范企业、中建集团抗击新冠肺炎疫情先进单位和党组织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等称号。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ascii="黑体" w:hAnsi="黑体" w:eastAsia="黑体" w:cs="黑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  <w:t>、人才培养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1.健全完善的培养体系，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进步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有平台。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333333"/>
          <w:spacing w:val="-6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333333"/>
          <w:spacing w:val="-6"/>
          <w:sz w:val="30"/>
          <w:szCs w:val="30"/>
          <w:lang w:val="en-US" w:eastAsia="zh-CN"/>
        </w:rPr>
        <w:t>做好</w:t>
      </w:r>
      <w:r>
        <w:rPr>
          <w:rFonts w:hint="default" w:ascii="仿宋_GB2312" w:eastAsia="仿宋_GB2312"/>
          <w:b/>
          <w:bCs/>
          <w:color w:val="333333"/>
          <w:spacing w:val="-6"/>
          <w:sz w:val="30"/>
          <w:szCs w:val="30"/>
          <w:lang w:val="en-US" w:eastAsia="zh-CN"/>
        </w:rPr>
        <w:t>3项重要工作，见习期全过程护航，</w:t>
      </w:r>
      <w:r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  <w:t>新员工入职培训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、</w:t>
      </w:r>
      <w:r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  <w:t>轮岗培养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、</w:t>
      </w:r>
      <w:r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  <w:t>转正定级和专业技术认定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，</w:t>
      </w:r>
      <w:r>
        <w:rPr>
          <w:rFonts w:hint="default" w:ascii="仿宋_GB2312" w:eastAsia="仿宋_GB2312"/>
          <w:b w:val="0"/>
          <w:bCs w:val="0"/>
          <w:color w:val="333333"/>
          <w:spacing w:val="-6"/>
          <w:sz w:val="30"/>
          <w:szCs w:val="30"/>
          <w:lang w:val="en-US" w:eastAsia="zh-CN"/>
        </w:rPr>
        <w:t>萌新不迷茫</w:t>
      </w:r>
      <w:r>
        <w:rPr>
          <w:rFonts w:hint="eastAsia" w:ascii="仿宋_GB2312" w:eastAsia="仿宋_GB2312"/>
          <w:b w:val="0"/>
          <w:bCs w:val="0"/>
          <w:color w:val="333333"/>
          <w:spacing w:val="-6"/>
          <w:sz w:val="30"/>
          <w:szCs w:val="30"/>
          <w:lang w:val="en-US" w:eastAsia="zh-CN"/>
        </w:rPr>
        <w:t>。</w:t>
      </w:r>
      <w:r>
        <w:rPr>
          <w:rFonts w:hint="eastAsia" w:ascii="仿宋_GB2312" w:eastAsia="仿宋_GB2312"/>
          <w:b/>
          <w:bCs/>
          <w:color w:val="333333"/>
          <w:spacing w:val="-6"/>
          <w:sz w:val="30"/>
          <w:szCs w:val="30"/>
          <w:lang w:val="en-US" w:eastAsia="zh-CN"/>
        </w:rPr>
        <w:t>塑强</w:t>
      </w:r>
      <w:r>
        <w:rPr>
          <w:rFonts w:hint="default" w:ascii="仿宋_GB2312" w:eastAsia="仿宋_GB2312"/>
          <w:b/>
          <w:bCs/>
          <w:color w:val="333333"/>
          <w:spacing w:val="-6"/>
          <w:sz w:val="30"/>
          <w:szCs w:val="30"/>
          <w:lang w:val="en-US" w:eastAsia="zh-CN"/>
        </w:rPr>
        <w:t>1项品牌计划，中长期全方位规划，</w:t>
      </w:r>
      <w:r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  <w:t>1-3年“卫星青年”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、</w:t>
      </w:r>
      <w:r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  <w:t>4-6年“行星青年”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、</w:t>
      </w:r>
      <w:r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  <w:t>7-9年“恒星青年”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，</w:t>
      </w:r>
      <w:r>
        <w:rPr>
          <w:rFonts w:hint="default" w:ascii="仿宋_GB2312" w:eastAsia="仿宋_GB2312"/>
          <w:b w:val="0"/>
          <w:bCs w:val="0"/>
          <w:color w:val="333333"/>
          <w:spacing w:val="-6"/>
          <w:sz w:val="30"/>
          <w:szCs w:val="30"/>
          <w:lang w:val="en-US" w:eastAsia="zh-CN"/>
        </w:rPr>
        <w:t>发展不偏航。</w:t>
      </w:r>
      <w:r>
        <w:rPr>
          <w:rFonts w:hint="eastAsia" w:ascii="仿宋_GB2312" w:hAnsi="宋体" w:eastAsia="仿宋_GB2312" w:cs="宋体"/>
          <w:b/>
          <w:bCs/>
          <w:color w:val="333333"/>
          <w:spacing w:val="-6"/>
          <w:kern w:val="0"/>
          <w:sz w:val="30"/>
          <w:szCs w:val="30"/>
          <w:lang w:val="en-US" w:eastAsia="zh-CN" w:bidi="ar-SA"/>
        </w:rPr>
        <w:t>贯穿2项保障工作，高质量全环节培养，</w:t>
      </w:r>
      <w:r>
        <w:rPr>
          <w:rFonts w:hint="eastAsia" w:ascii="仿宋_GB2312" w:eastAsia="仿宋_GB2312" w:cs="宋体"/>
          <w:b w:val="0"/>
          <w:bCs w:val="0"/>
          <w:color w:val="333333"/>
          <w:spacing w:val="-6"/>
          <w:kern w:val="0"/>
          <w:sz w:val="30"/>
          <w:szCs w:val="30"/>
          <w:lang w:val="en-US" w:eastAsia="zh-CN" w:bidi="ar-SA"/>
        </w:rPr>
        <w:t>落实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“师带徒”培养、</w:t>
      </w:r>
      <w:r>
        <w:rPr>
          <w:rFonts w:hint="eastAsia" w:ascii="仿宋_GB2312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上线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“我想对你说”网上留言板</w:t>
      </w:r>
      <w:r>
        <w:rPr>
          <w:rFonts w:hint="eastAsia" w:ascii="仿宋_GB2312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，</w:t>
      </w:r>
      <w:r>
        <w:rPr>
          <w:rFonts w:hint="eastAsia" w:ascii="仿宋_GB2312" w:hAnsi="宋体" w:eastAsia="仿宋_GB2312" w:cs="宋体"/>
          <w:b w:val="0"/>
          <w:bCs w:val="0"/>
          <w:color w:val="333333"/>
          <w:spacing w:val="-6"/>
          <w:kern w:val="0"/>
          <w:sz w:val="30"/>
          <w:szCs w:val="30"/>
          <w:lang w:val="en-US" w:eastAsia="zh-CN" w:bidi="ar-SA"/>
        </w:rPr>
        <w:t>前行不孤独。</w:t>
      </w:r>
      <w:r>
        <w:rPr>
          <w:rFonts w:hint="eastAsia" w:ascii="仿宋_GB2312" w:hAnsi="宋体" w:eastAsia="仿宋_GB2312" w:cs="宋体"/>
          <w:b/>
          <w:bCs/>
          <w:color w:val="333333"/>
          <w:spacing w:val="-6"/>
          <w:kern w:val="0"/>
          <w:sz w:val="30"/>
          <w:szCs w:val="30"/>
          <w:lang w:val="en-US" w:eastAsia="zh-CN" w:bidi="ar-SA"/>
        </w:rPr>
        <w:t>配备丰富的学习资源，</w:t>
      </w:r>
      <w:r>
        <w:rPr>
          <w:rFonts w:hint="eastAsia" w:ascii="仿宋_GB2312" w:eastAsia="仿宋_GB2312" w:cs="宋体"/>
          <w:b w:val="0"/>
          <w:bCs w:val="0"/>
          <w:color w:val="333333"/>
          <w:spacing w:val="-6"/>
          <w:kern w:val="0"/>
          <w:sz w:val="30"/>
          <w:szCs w:val="30"/>
          <w:lang w:val="en-US" w:eastAsia="zh-CN" w:bidi="ar-SA"/>
        </w:rPr>
        <w:t>开展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“雷霆战将”培训计划</w:t>
      </w:r>
      <w:r>
        <w:rPr>
          <w:rFonts w:hint="eastAsia" w:ascii="仿宋_GB2312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，上线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“EBPM流程管理系统”</w:t>
      </w:r>
      <w:r>
        <w:rPr>
          <w:rFonts w:hint="eastAsia" w:ascii="仿宋_GB2312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，搭建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“三公司云学堂”</w:t>
      </w:r>
      <w:r>
        <w:rPr>
          <w:rFonts w:hint="eastAsia" w:ascii="仿宋_GB2312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，</w:t>
      </w:r>
      <w:r>
        <w:rPr>
          <w:rFonts w:hint="eastAsia" w:ascii="仿宋_GB2312" w:hAnsi="宋体" w:eastAsia="仿宋_GB2312" w:cs="宋体"/>
          <w:b w:val="0"/>
          <w:bCs w:val="0"/>
          <w:color w:val="333333"/>
          <w:spacing w:val="-6"/>
          <w:kern w:val="0"/>
          <w:sz w:val="30"/>
          <w:szCs w:val="30"/>
          <w:lang w:val="en-US" w:eastAsia="zh-CN" w:bidi="ar-SA"/>
        </w:rPr>
        <w:t>为发展赋能</w:t>
      </w:r>
      <w:r>
        <w:rPr>
          <w:rFonts w:hint="eastAsia" w:ascii="仿宋_GB2312" w:eastAsia="仿宋_GB2312" w:cs="宋体"/>
          <w:b w:val="0"/>
          <w:bCs w:val="0"/>
          <w:color w:val="333333"/>
          <w:spacing w:val="-6"/>
          <w:kern w:val="0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kern w:val="0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kern w:val="0"/>
          <w:sz w:val="30"/>
          <w:szCs w:val="30"/>
          <w:lang w:val="en-US" w:eastAsia="zh-CN" w:bidi="ar-SA"/>
        </w:rPr>
        <w:t>2.精干有为的管理团队，同行有良师。</w:t>
      </w:r>
    </w:p>
    <w:p>
      <w:pPr>
        <w:keepNext w:val="0"/>
        <w:keepLines w:val="0"/>
        <w:pageBreakBefore w:val="0"/>
        <w:tabs>
          <w:tab w:val="left" w:pos="24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" w:firstLineChars="200"/>
        <w:jc w:val="both"/>
        <w:textAlignment w:val="auto"/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spacing w:val="-6"/>
          <w:kern w:val="0"/>
          <w:sz w:val="30"/>
          <w:szCs w:val="30"/>
          <w:lang w:val="en-US" w:eastAsia="zh-CN" w:bidi="ar-SA"/>
        </w:rPr>
        <w:t>公司聚焦职业化团队建设，培育注册一级建筑师、注册结构工程师、注册土木工程师、注册岩土工程师、注册公用设备工程师、注册电气工程师、注册一级建造师、注册安全工程师、注册造价工程师等近2000人，工程师、经济师、政工师、会计师等序列高质量团队与你同行，公司组织免费的考证培训、发放丰厚的取证津贴、执业津贴，给足资源培育精英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.舞台广阔的发展路径，成长有空间。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333333"/>
          <w:spacing w:val="-6"/>
          <w:sz w:val="30"/>
          <w:szCs w:val="30"/>
        </w:rPr>
        <w:t>你的才华，有足够的舞台绽放。全产业链布局</w:t>
      </w:r>
      <w:r>
        <w:rPr>
          <w:rFonts w:hint="eastAsia" w:ascii="仿宋_GB2312" w:eastAsia="仿宋_GB2312"/>
          <w:b/>
          <w:bCs/>
          <w:color w:val="333333"/>
          <w:spacing w:val="-6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投资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设计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总承包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建造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运营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b/>
          <w:bCs/>
          <w:color w:val="333333"/>
          <w:spacing w:val="-6"/>
          <w:sz w:val="30"/>
          <w:szCs w:val="30"/>
        </w:rPr>
        <w:t>业务多元发展</w:t>
      </w:r>
      <w:r>
        <w:rPr>
          <w:rFonts w:hint="eastAsia" w:ascii="仿宋_GB2312" w:eastAsia="仿宋_GB2312"/>
          <w:b/>
          <w:bCs/>
          <w:color w:val="333333"/>
          <w:spacing w:val="-6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高端房建、基础设施（市政道路、大型桥梁、机场站房、轨道交通）、专业建造（高端机电安装、工业厂房、高级装饰、石油化工）、国际业务、设计业务、投融资业务、融建业务、绿色产业、建筑科技产业化；</w:t>
      </w:r>
      <w:r>
        <w:rPr>
          <w:rFonts w:hint="eastAsia" w:ascii="仿宋_GB2312" w:eastAsia="仿宋_GB2312"/>
          <w:b/>
          <w:bCs/>
          <w:color w:val="333333"/>
          <w:spacing w:val="-6"/>
          <w:sz w:val="30"/>
          <w:szCs w:val="30"/>
        </w:rPr>
        <w:t>管理岗位充足</w:t>
      </w:r>
      <w:r>
        <w:rPr>
          <w:rFonts w:hint="eastAsia" w:ascii="仿宋_GB2312" w:eastAsia="仿宋_GB2312"/>
          <w:b/>
          <w:bCs/>
          <w:color w:val="333333"/>
          <w:spacing w:val="-6"/>
          <w:sz w:val="30"/>
          <w:szCs w:val="30"/>
          <w:lang w:eastAsia="zh-CN"/>
        </w:rPr>
        <w:t>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1个第二总部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17个二级机构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数百个项目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有大量机会在不同业务领域、各类项目、各级总部之间流动发展。</w:t>
      </w:r>
      <w:r>
        <w:rPr>
          <w:rFonts w:hint="eastAsia" w:ascii="仿宋_GB2312" w:eastAsia="仿宋_GB2312"/>
          <w:b/>
          <w:bCs/>
          <w:color w:val="333333"/>
          <w:spacing w:val="-6"/>
          <w:sz w:val="30"/>
          <w:szCs w:val="30"/>
        </w:rPr>
        <w:t>你的专业，有畅通的路径施展。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员工在一定的管理职务等级之下，具备一定专业能力后，可以在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运营管理类通道、专家顾问类通道2大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类职业通道并行发展，也可选择在专家顾问类通道单通道发展。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.任人唯贤的用人机制，发展有奔头。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新员工入职经过见习期1年时间转正，研究生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和一定比例的本科生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提前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半年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转正。晋升提拔主要通过公开竞聘、轮岗交流、内部招聘、干部考察等方式开展，公平公正公开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优秀者优先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有为者有位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能干者能上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5.和谐有爱的文化活动，生活有乐趣。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领导关怀、同事有爱，多类多项人文活动帮助职工劳逸结合、快乐生活，涵盖篮球、足球、乒乓球、游泳等各类体育活动，书画比赛、征文活动、文艺表演、知识竞赛、演讲比赛等各类文艺活动，优质单位联谊、志愿服务等公益活动，涵养豪气锐气灵气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  <w:t>、经营区域</w:t>
      </w: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  <w:lang w:val="en-US" w:eastAsia="zh-CN"/>
        </w:rPr>
        <w:t>工作地点</w:t>
      </w: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  <w:lang w:eastAsia="zh-CN"/>
        </w:rPr>
        <w:t>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局和公司总部均位于湖北武汉，公司经营区域覆盖全国，市场触角延展海外，17家分支机构和数百个项目覆盖华中、京津冀、长三角、大湾区、成渝经济圈五大热点区域，辐射周边30余个省市区，海外培育环地中海、东南亚、南亚、中西非、中东区域市场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京津冀及周边地区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辐射北京、天津、山东、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河北、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山西、陕西等地区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华中及周边地区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辐射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湖北、湖南、江西、安徽、河南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等地区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大湾区及周边地区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：辐射广东、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广西、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海南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、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福建等地区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长三角及周边地区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：辐射浙江、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上海、江苏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等地区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成渝经济圈及周边地区：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辐射重庆、四川、云南、贵州等地区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ascii="仿宋_GB2312" w:eastAsia="仿宋_GB2312"/>
          <w:color w:val="333333"/>
          <w:spacing w:val="-6"/>
          <w:sz w:val="30"/>
          <w:szCs w:val="30"/>
        </w:rPr>
        <w:t>海外：阿尔及利亚、马来西亚、印度、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印度尼西亚、</w:t>
      </w:r>
      <w:r>
        <w:rPr>
          <w:rFonts w:ascii="仿宋_GB2312" w:eastAsia="仿宋_GB2312"/>
          <w:color w:val="333333"/>
          <w:spacing w:val="-6"/>
          <w:sz w:val="30"/>
          <w:szCs w:val="30"/>
        </w:rPr>
        <w:t>刚果（金）等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  <w:t>、薪酬待遇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jc w:val="both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稳定多元的薪酬福利体系，口袋有保障。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1.工资：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岗位工资+职级工资；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2.奖金：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季度绩效奖+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各类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专项奖；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3.津贴：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生活类津补贴：住房补贴+伙食补贴+通讯补贴+防寒津贴+防暑津贴+远征津贴+艰苦津贴+过节费+其他津贴；工作类津补贴：年功津贴+专业职级津贴+执业资格津贴+外语津贴；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4.福利：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六险二金（五险一金+补充医疗保险+企业年金）+各项福利（包吃住+节日慰问+生日礼物+免费工装+带薪休假+岗前培训+在职培训+免费体检+集体婚礼+购房福利+其他福利）；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5.休假制度：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双休、年假、婚假、产假、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调休假、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探亲假等；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jc w:val="both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6.总收入：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第一年税后9-12万，第二年税后12-17万（不含执业资格津贴和专项奖）。博士研究生等高层次人才“一人一议”。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78" w:firstLineChars="200"/>
        <w:rPr>
          <w:rFonts w:ascii="仿宋_GB2312" w:eastAsia="仿宋_GB2312"/>
          <w:b/>
          <w:bCs/>
          <w:color w:val="333333"/>
          <w:spacing w:val="-6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  <w:t>六、需求专业</w:t>
      </w:r>
    </w:p>
    <w:tbl>
      <w:tblPr>
        <w:tblStyle w:val="6"/>
        <w:tblW w:w="845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4"/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岗位分类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招录专业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土木工程、工程管理、工程力学、结构工程、装饰施工技术、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道路桥梁与渡河工程、铁道工程、城市地下空间工程、交通工程</w:t>
            </w: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土木工程、工程管理、工程造价等相关专业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土木工程、工程管理、工程力学、结构工程、装饰施工技术、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道路桥梁与渡河工程、铁道工程、城市地下空间工程、交通工程</w:t>
            </w: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BIM工程师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土木工程（BIM相关方向）、智能建造等相关专业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建筑智能装备研发工程师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工程力学、结构工程、机械设计制造及其自动化、自动化等相关专业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土木工程、建筑学等相关专业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道桥方向工程师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道路桥梁与渡河工程、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水利水电工程、铁道工程、交通工程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地下工程方向工程师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城市地下空间工程等相关专业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水务环保方向工程师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水务工程、港口航道与治河工程、水政水资源管理、水利工程造价等相关专业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暖通工程师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建筑环境与能源应用工程等相关专业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给排水工程师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给排水科学与工程等相关专业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机械电气工程师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电气工程及其自动化、建筑电气与智能化等相关专业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仪表电气工程师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过程控制与装备工程、材料成型及控制工程等相关专业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工艺管道工程师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焊接技术与工程、化学工艺与工程等相关专业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罐装储运工程师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油气储运等相关专业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装饰装修工程师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土木工程、装饰施工技术等相关专业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钢筋翻样工程师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土木工程、工程管理、工程造价等相关专业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土木工程、工程管理、工程监理、工程力学等相关专业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土木工程、安全工程等相关专业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物资管理工程师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土木工程、工程管理、物流管理、供应链管理、电子商务等相关专业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土木工程、工程管理、机械设计制造及其自动化、机械工程/机械电子工程、电子工程及其自动化、过程装备与控制工程等相关专业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测量管理工程师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土木工程、测控技术与仪器、测绘工程等相关专业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试验管理工程师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土木工程、工程管理、工程力学、结构工程等相关专业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资料管理工程师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土木工程、工程管理、档案学等相关专业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党建宣传岗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马克思主义理论、思想政治教育、汉语言文学、新闻学、传播学、网络与新媒体、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行政管理岗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行政管理、公共管理、政治学与行政学、社会学、社会工作、马克思主义理论、思想政治教育、汉语言文学等相关专业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人力资源岗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人力资源管理、劳动关系与社会保障、工商管理等相关专业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财务管理岗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会计学、财务管理等相关专业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法务岗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信息化管理岗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计算机科学与技术、信息与计算机科学、软件工程等相关专业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市场营销岗（后备）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公共关系学、市场营销、投资学、工商管理、土木工程、工程造价、工程管理等相关专业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纪检监察岗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法律硕士（监察法方向）等相关专业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投融资管理岗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投资学、经济学、金融学、经济统计学、应用统计学、统计学等相关专业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578" w:firstLineChars="200"/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ascii="黑体" w:hAnsi="黑体" w:eastAsia="黑体" w:cs="黑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  <w:t>七、应聘条件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1.学历及院校：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2023届统招本科及以上学历应届毕业生；国内重点高校、传统建筑强校、全球知名院校。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2.学习成绩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：在校学习成绩良好，专业课程无补考；本科生英语四级以上、研究生英语六级以上水平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3.综合素质：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身心健康；具有较强的沟通表达和组织协调能力；具有较强的责任担当、务实作风、团队精神；具有较强的意愿和企业认同感。同等条件下，中共党员，有学生会、社团等学生工作任职经历，有相关社会实践或企业实习经历，各类荣誉获得者，有文艺、体育特长者优先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ascii="黑体" w:hAnsi="黑体" w:eastAsia="黑体" w:cs="黑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  <w:t>八、应聘流程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1.</w:t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简历投递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6" w:firstLineChars="200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中建三局三公司2023届校园招聘专属网申通道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131445</wp:posOffset>
            </wp:positionV>
            <wp:extent cx="2286000" cy="2286000"/>
            <wp:effectExtent l="0" t="0" r="0" b="0"/>
            <wp:wrapTopAndBottom/>
            <wp:docPr id="1" name="图片 1" descr="招聘简章简历投递入口-2022-09-01-2023-05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聘简章简历投递入口-2022-09-01-2023-05-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2.线上考试：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参加中建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集团2023届校园招聘统一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线上考试，取得网测成绩。（考试注意事项及二测排期详见中建三局三公司招聘官网“校园招聘-中建测评”版块）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3.初试：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简历筛选后确定初试名单（以工作人员电话、短信、邮箱通知为准），进入初试环节。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4.复试：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初试之后确定复试名单（以工作人员电话、短信、邮箱通知为准），进入复试环节。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5.录用：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复试通过、网测成绩合格人员，沟通确定录用意向，发放offer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签订三方协议书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ascii="黑体" w:hAnsi="黑体" w:eastAsia="黑体" w:cs="黑体"/>
          <w:b/>
          <w:bCs/>
          <w:color w:val="333333"/>
          <w:spacing w:val="-6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33333"/>
          <w:spacing w:val="-6"/>
          <w:sz w:val="30"/>
          <w:szCs w:val="30"/>
        </w:rPr>
        <w:t>九、联系方式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联系电话：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18571558825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（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李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经理）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联系邮箱：</w:t>
      </w:r>
      <w:r>
        <w:rPr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14:textFill>
            <w14:solidFill>
              <w14:schemeClr w14:val="tx1"/>
            </w14:solidFill>
          </w14:textFill>
        </w:rPr>
        <w:instrText xml:space="preserve"> HYPERLINK "mailto:cscec3b3zhaopin@cscec.com" </w:instrText>
      </w:r>
      <w:r>
        <w:rPr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452782302@qq</w:t>
      </w:r>
      <w:r>
        <w:rPr>
          <w:rStyle w:val="9"/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不接收简历</w:t>
      </w:r>
      <w:r>
        <w:rPr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default" w:ascii="仿宋_GB2312" w:eastAsia="仿宋_GB2312"/>
          <w:color w:val="000000" w:themeColor="text1"/>
          <w:spacing w:val="-6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联系QQ：</w:t>
      </w:r>
      <w:r>
        <w:rPr>
          <w:rFonts w:hint="eastAsia" w:ascii="仿宋_GB2312" w:eastAsia="仿宋_GB2312"/>
          <w:color w:val="000000" w:themeColor="text1"/>
          <w:spacing w:val="-6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452782302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default" w:ascii="仿宋_GB2312" w:eastAsia="仿宋_GB2312"/>
          <w:color w:val="333333"/>
          <w:spacing w:val="-6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QQ群：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lang w:val="en-US" w:eastAsia="zh-CN"/>
        </w:rPr>
        <w:t>2023CSCEC3B3校园招聘资讯（852568947）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</w:rPr>
        <w:t>联系地址：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</w:rPr>
        <w:t>湖北省武汉市洪山区关南园路2号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578" w:firstLineChars="200"/>
        <w:textAlignment w:val="auto"/>
        <w:rPr>
          <w:rFonts w:hint="eastAsia" w:ascii="仿宋_GB2312" w:eastAsia="仿宋_GB2312"/>
          <w:color w:val="333333"/>
          <w:spacing w:val="-6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333333"/>
          <w:spacing w:val="-6"/>
          <w:sz w:val="30"/>
          <w:szCs w:val="30"/>
          <w:lang w:val="en-US" w:eastAsia="zh-CN"/>
        </w:rPr>
        <w:t>公司招聘官网：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仿宋_GB2312" w:eastAsia="仿宋_GB2312"/>
          <w:color w:val="333333"/>
          <w:spacing w:val="-6"/>
          <w:sz w:val="30"/>
          <w:szCs w:val="30"/>
          <w:u w:val="none"/>
          <w:lang w:val="en-US" w:eastAsia="zh-CN"/>
        </w:rPr>
        <w:instrText xml:space="preserve"> HYPERLINK "http://campus.51job.com/cscec3b3" </w:instrText>
      </w:r>
      <w:r>
        <w:rPr>
          <w:rFonts w:hint="eastAsia" w:ascii="仿宋_GB2312" w:eastAsia="仿宋_GB2312"/>
          <w:color w:val="333333"/>
          <w:spacing w:val="-6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eastAsia" w:ascii="仿宋_GB2312" w:eastAsia="仿宋_GB2312"/>
          <w:color w:val="333333"/>
          <w:spacing w:val="-6"/>
          <w:sz w:val="30"/>
          <w:szCs w:val="30"/>
          <w:u w:val="none"/>
          <w:lang w:val="en-US" w:eastAsia="zh-CN"/>
        </w:rPr>
        <w:t>http://campus.51job.com/cscec3b3</w:t>
      </w:r>
      <w:r>
        <w:rPr>
          <w:rFonts w:hint="eastAsia" w:ascii="仿宋_GB2312" w:eastAsia="仿宋_GB2312"/>
          <w:color w:val="333333"/>
          <w:spacing w:val="-6"/>
          <w:sz w:val="30"/>
          <w:szCs w:val="30"/>
          <w:u w:val="none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YWRiMThlMzExZWVmNmM0ZGZjYjM1OWE5Y2VlZTkifQ=="/>
  </w:docVars>
  <w:rsids>
    <w:rsidRoot w:val="00846E49"/>
    <w:rsid w:val="00016D16"/>
    <w:rsid w:val="001178FD"/>
    <w:rsid w:val="0016635B"/>
    <w:rsid w:val="001F1DD3"/>
    <w:rsid w:val="00203ED8"/>
    <w:rsid w:val="00263804"/>
    <w:rsid w:val="002A5A1A"/>
    <w:rsid w:val="00424188"/>
    <w:rsid w:val="00564606"/>
    <w:rsid w:val="00653D68"/>
    <w:rsid w:val="006A0049"/>
    <w:rsid w:val="006D40F3"/>
    <w:rsid w:val="00763135"/>
    <w:rsid w:val="00780265"/>
    <w:rsid w:val="007F7DF3"/>
    <w:rsid w:val="00822CFC"/>
    <w:rsid w:val="00846E49"/>
    <w:rsid w:val="008A1F21"/>
    <w:rsid w:val="00980EE8"/>
    <w:rsid w:val="009A339B"/>
    <w:rsid w:val="009B39AC"/>
    <w:rsid w:val="00A00C6E"/>
    <w:rsid w:val="00A263A3"/>
    <w:rsid w:val="00A41AD7"/>
    <w:rsid w:val="00A81880"/>
    <w:rsid w:val="00AB6952"/>
    <w:rsid w:val="00B0417F"/>
    <w:rsid w:val="00B13F6D"/>
    <w:rsid w:val="00B35895"/>
    <w:rsid w:val="00C10BEA"/>
    <w:rsid w:val="00CF6584"/>
    <w:rsid w:val="00D96A56"/>
    <w:rsid w:val="00EE313E"/>
    <w:rsid w:val="00F0389E"/>
    <w:rsid w:val="00F64B04"/>
    <w:rsid w:val="00FB5515"/>
    <w:rsid w:val="02330565"/>
    <w:rsid w:val="02CE2715"/>
    <w:rsid w:val="03194949"/>
    <w:rsid w:val="05F733E7"/>
    <w:rsid w:val="09592253"/>
    <w:rsid w:val="09D903E5"/>
    <w:rsid w:val="10DD78A2"/>
    <w:rsid w:val="121635AA"/>
    <w:rsid w:val="12A11807"/>
    <w:rsid w:val="160F3F3D"/>
    <w:rsid w:val="163775C2"/>
    <w:rsid w:val="16F543FB"/>
    <w:rsid w:val="17D4052F"/>
    <w:rsid w:val="199B6470"/>
    <w:rsid w:val="1C7F3E27"/>
    <w:rsid w:val="1CD15D0E"/>
    <w:rsid w:val="1EED5A3F"/>
    <w:rsid w:val="223E5439"/>
    <w:rsid w:val="241C7858"/>
    <w:rsid w:val="250F20C5"/>
    <w:rsid w:val="25763CC6"/>
    <w:rsid w:val="25F510B7"/>
    <w:rsid w:val="26FA00E5"/>
    <w:rsid w:val="28922002"/>
    <w:rsid w:val="28EE2FAB"/>
    <w:rsid w:val="29393B87"/>
    <w:rsid w:val="299E7ADD"/>
    <w:rsid w:val="2A4E1DD4"/>
    <w:rsid w:val="2AFF08B6"/>
    <w:rsid w:val="2BA14DD0"/>
    <w:rsid w:val="2F4E1907"/>
    <w:rsid w:val="326728A0"/>
    <w:rsid w:val="34030527"/>
    <w:rsid w:val="34F24934"/>
    <w:rsid w:val="354013AD"/>
    <w:rsid w:val="354B497D"/>
    <w:rsid w:val="37870FE8"/>
    <w:rsid w:val="38132099"/>
    <w:rsid w:val="39E736AA"/>
    <w:rsid w:val="3A5F3E86"/>
    <w:rsid w:val="3B486375"/>
    <w:rsid w:val="3C272A8B"/>
    <w:rsid w:val="3C844287"/>
    <w:rsid w:val="3CB21F73"/>
    <w:rsid w:val="3FDF6807"/>
    <w:rsid w:val="42845F35"/>
    <w:rsid w:val="432307D2"/>
    <w:rsid w:val="453B0AB3"/>
    <w:rsid w:val="477D49AC"/>
    <w:rsid w:val="489561E7"/>
    <w:rsid w:val="518B7B56"/>
    <w:rsid w:val="52EA5CAB"/>
    <w:rsid w:val="5C55745B"/>
    <w:rsid w:val="5D674301"/>
    <w:rsid w:val="5F745326"/>
    <w:rsid w:val="60FE5038"/>
    <w:rsid w:val="614E63AD"/>
    <w:rsid w:val="61ED241A"/>
    <w:rsid w:val="6A552126"/>
    <w:rsid w:val="6C265E4A"/>
    <w:rsid w:val="6E7076FF"/>
    <w:rsid w:val="6EAA6254"/>
    <w:rsid w:val="73974518"/>
    <w:rsid w:val="74AC5783"/>
    <w:rsid w:val="74FC103F"/>
    <w:rsid w:val="7686689B"/>
    <w:rsid w:val="76FF0585"/>
    <w:rsid w:val="78167D41"/>
    <w:rsid w:val="78354D73"/>
    <w:rsid w:val="7BF76B79"/>
    <w:rsid w:val="7DBA14C1"/>
    <w:rsid w:val="7F42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01"/>
    <w:basedOn w:val="7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4244</Words>
  <Characters>4461</Characters>
  <Lines>23</Lines>
  <Paragraphs>6</Paragraphs>
  <TotalTime>361</TotalTime>
  <ScaleCrop>false</ScaleCrop>
  <LinksUpToDate>false</LinksUpToDate>
  <CharactersWithSpaces>4462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2021-08-19T23:04:00Z</dcterms:created>
  <dc:creator>hou_official</dc:creator>
  <cp:lastModifiedBy>李明轩</cp:lastModifiedBy>
  <cp:lastPrinted>2021-08-24T03:10:00Z</cp:lastPrinted>
  <dcterms:modified xsi:type="dcterms:W3CDTF">2022-09-05T09:08:30Z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_DocHome">
    <vt:i4>921132760</vt:i4>
  </property>
  <property fmtid="{D5CDD505-2E9C-101B-9397-08002B2CF9AE}" pid="4" name="ICV">
    <vt:lpwstr>636BCBC7003A4BC786D1F03507AF3640</vt:lpwstr>
  </property>
</Properties>
</file>