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东台市情简介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仿宋_GBK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</w:rPr>
        <w:t>东台市域总面积3176平方公里、全省县域最大，总人口113万，素有“黄海明珠”之称。先后获评国家园林城市、国家卫生城市、国家生态示范区、国家现代农业示范区，被列入全国乡村治理体系建设试点、国家全域旅游示范区创建名录</w:t>
      </w:r>
      <w:r>
        <w:rPr>
          <w:rFonts w:hint="default" w:ascii="Times New Roman" w:hAnsi="Times New Roman" w:eastAsia="方正仿宋_GBK" w:cs="Times New Roman"/>
          <w:sz w:val="34"/>
          <w:szCs w:val="34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跻身全国工业百强县（市）</w:t>
      </w:r>
      <w:r>
        <w:rPr>
          <w:rFonts w:hint="default" w:ascii="Times New Roman" w:hAnsi="Times New Roman" w:eastAsia="方正仿宋_GBK" w:cs="Times New Roman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08"/>
        <w:textAlignment w:val="auto"/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Cs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产业结构在绿色转型中迭代升级。</w:t>
      </w:r>
      <w:r>
        <w:rPr>
          <w:rFonts w:hint="eastAsia" w:ascii="方正仿宋_GBK" w:hAnsi="方正楷体_GBK" w:eastAsia="方正仿宋_GBK" w:cs="方正楷体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经济</w:t>
      </w:r>
      <w:r>
        <w:rPr>
          <w:rFonts w:hint="eastAsia" w:ascii="方正仿宋_GBK" w:hAnsi="方正楷体_GBK" w:eastAsia="方正仿宋_GBK" w:cs="方正楷体_GBK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呈</w:t>
      </w:r>
      <w:r>
        <w:rPr>
          <w:rFonts w:hint="eastAsia" w:ascii="方正仿宋_GBK" w:hAnsi="方正楷体_GBK" w:eastAsia="方正仿宋_GBK" w:cs="方正楷体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方正仿宋_GBK" w:hAnsi="方正楷体_GBK" w:eastAsia="方正仿宋_GBK" w:cs="方正楷体_GBK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强劲</w:t>
      </w:r>
      <w:r>
        <w:rPr>
          <w:rFonts w:hint="eastAsia" w:ascii="方正仿宋_GBK" w:hAnsi="方正楷体_GBK" w:eastAsia="方正仿宋_GBK" w:cs="方正楷体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韧性和活力</w:t>
      </w:r>
      <w:r>
        <w:rPr>
          <w:rFonts w:hint="eastAsia" w:ascii="方正仿宋_GBK" w:hAnsi="方正楷体_GBK" w:eastAsia="方正仿宋_GBK" w:cs="方正楷体_GBK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楷体_GBK" w:eastAsia="方正仿宋_GBK" w:cs="方正楷体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稳中向好的态势愈发明显。新兴产业快速成长，电子信息、高端装备、新材料、大健康四大主导产业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开票销售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首超千亿，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占规上工业比重提高到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76</w:t>
      </w:r>
      <w:r>
        <w:rPr>
          <w:rFonts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，“主引擎”地位更加凸显。项目攻坚成效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显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著，新开工、新竣工亿元以上项目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72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个、46个，新入库5000万元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项目258个，盐城领先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实现了凯盛三新、领胜3C、宇量新能源三个50亿级、百亿级制造业项目的历史性突破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企业转型全面提速，</w:t>
      </w:r>
      <w:r>
        <w:rPr>
          <w:rFonts w:hint="default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完成重大技改项目120个、智能制造项目100个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新增规上工业企业80家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净增开票销售超亿元企业20家，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均超历史最好水平；净增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本土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国家高企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占盐城1/2，入选全省首批创新型示范县建设名单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交出了超出预期的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成绩单。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08"/>
        <w:textAlignment w:val="auto"/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城市能级在品质塑造中大幅跃升。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品质城市与美丽乡村相得益彰、中心城市与城市副中心联动发展的格局已然形成。城市功能全面升级，“个十百千万”工程重塑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城市风貌，实施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城市棚户改造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10538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户，草市街、结发街、串场河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生态廊道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网界河休闲带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等重要节点展现了城市新活力，“七里漾”入选省美丽宜居城市建设试点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。弶港城市副中心建设拉开壮阔序幕，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沿海战略研究规划、副中心控规及城市设计编制完成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乡村振兴亮点纷呈，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以时堰红庄、弶港巴斗为代表的美丽乡村，成为展示乡村全面振兴的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示范标杆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农村人居环境整治工作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继续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走在全国前列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镇域特色产业竞相发展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两个镇工业开票销售超百亿，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国家地理标志农产品总数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居</w:t>
      </w:r>
      <w:r>
        <w:rPr>
          <w:rFonts w:hint="eastAsia"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全省第一，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东台入选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首批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全国农业现代化示范区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08"/>
        <w:textAlignment w:val="auto"/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生态优势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在厚植底色中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日益彰显。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绿色发展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示范领跑，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“蓝绿交汇”的美丽图景精彩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呈现。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环境品质持续提升，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条子泥湿地被昆明世界生态大会列为“100+推荐案例”，“勺嘴鹬”文旅IP享誉全球，生物多样性保护打造全国典范，成为江苏唯一的“中国美丽海湾”，喜获“中国天然氧吧”“中国长寿之乡”。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绿色转型纵深推进，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单位GDP能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4"/>
          <w:szCs w:val="34"/>
          <w:u w:val="none"/>
          <w:lang w:val="en-US" w:eastAsia="zh-CN"/>
        </w:rPr>
        <w:t>耗下降3.03%，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4"/>
          <w:szCs w:val="34"/>
          <w:u w:val="none"/>
          <w:lang w:eastAsia="zh-CN"/>
        </w:rPr>
        <w:t>新盘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活低效用地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2767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亩、闲置厂房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万平方米，完成资源高效利用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项目39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个。全域旅游多点开花，长三角（东台）康养基地得到苏、沪两地主要领导的高度重视，医疗、教育、产业3个专项协议正式签订。旅游公路1号线入选全国“诗情画意旅游路”，条子泥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景区跻身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国家4A级景区，西溪景区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获评省级文化产业示范园区，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东台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入选首批长三角高铁旅游小城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，进入全国县域旅游综合竞争力百强。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央视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新闻联播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多次关注报道东台，东台作为县级城市在全国的能见度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辨识度、美誉度极大提升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7" w:firstLineChars="208"/>
        <w:textAlignment w:val="auto"/>
        <w:rPr>
          <w:rFonts w:hint="default" w:ascii="Times New Roman" w:hAnsi="Times New Roman" w:cs="Times New Roman"/>
          <w:sz w:val="34"/>
          <w:szCs w:val="3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sz w:val="34"/>
          <w:szCs w:val="34"/>
          <w:u w:val="none"/>
          <w:lang w:bidi="ar"/>
          <w14:textFill>
            <w14:solidFill>
              <w14:schemeClr w14:val="tx1"/>
            </w14:solidFill>
          </w14:textFill>
        </w:rPr>
        <w:t>民生幸福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sz w:val="34"/>
          <w:szCs w:val="3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sz w:val="34"/>
          <w:szCs w:val="34"/>
          <w:u w:val="none"/>
          <w:lang w:bidi="ar"/>
          <w14:textFill>
            <w14:solidFill>
              <w14:schemeClr w14:val="tx1"/>
            </w14:solidFill>
          </w14:textFill>
        </w:rPr>
        <w:t>共建共享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sz w:val="34"/>
          <w:szCs w:val="3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pacing w:val="0"/>
          <w:sz w:val="34"/>
          <w:szCs w:val="34"/>
          <w:u w:val="none"/>
          <w:lang w:bidi="ar"/>
          <w14:textFill>
            <w14:solidFill>
              <w14:schemeClr w14:val="tx1"/>
            </w14:solidFill>
          </w14:textFill>
        </w:rPr>
        <w:t>更显温度。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始终坚持民生优先，全力化解“急难愁盼”，群众获得感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增强。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居民收入稳健增长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城乡居民收入达46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00元、29700元，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分别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8.5</w:t>
      </w:r>
      <w:r>
        <w:rPr>
          <w:rFonts w:hint="eastAsia" w:ascii="Times New Roman" w:hAnsi="Times New Roman" w:eastAsia="方正仿宋_GBK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%的村达省定经济强村标准。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公共供给持续优化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新改扩建中小学幼儿园</w:t>
      </w:r>
      <w:r>
        <w:rPr>
          <w:rFonts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所，</w:t>
      </w:r>
      <w:r>
        <w:rPr>
          <w:rFonts w:ascii="Times New Roman" w:hAnsi="Times New Roman" w:eastAsia="方正仿宋_GBK" w:cs="Times New Roman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50%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以上学校创成新优质学校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中医院东院综合楼、时堰中心卫生院建成运行，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医疗健康信息平台获评国家四甲，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公立医院改革、基层卫生工作获省政府表彰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；“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东台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发绣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入选第五批国家级“非遗”名录，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获评“中国民间文化艺术之乡”，入选中国最具幸福感城市。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区域本质安全全面加强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依法治理、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网格化治理不断夯实，安全生产事故数同比下降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%，公众安全感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和群众法治满意度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14:textFill>
            <w14:solidFill>
              <w14:schemeClr w14:val="tx1"/>
            </w14:solidFill>
          </w14:textFill>
        </w:rPr>
        <w:t>位居全省前列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bCs/>
          <w:color w:val="000000" w:themeColor="text1"/>
          <w:spacing w:val="0"/>
          <w:sz w:val="34"/>
          <w:szCs w:val="34"/>
          <w:u w:val="none"/>
          <w:lang w:val="en-US" w:eastAsia="zh-CN"/>
          <w14:textFill>
            <w14:solidFill>
              <w14:schemeClr w14:val="tx1"/>
            </w14:solidFill>
          </w14:textFill>
        </w:rPr>
        <w:t>被表彰为全国依法治理创建活动先进单位。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58" name="文本框 1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jKlHcNAIAAGc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F09B9"/>
    <w:rsid w:val="0B39115C"/>
    <w:rsid w:val="0DFE48A4"/>
    <w:rsid w:val="10470817"/>
    <w:rsid w:val="16283CE2"/>
    <w:rsid w:val="17523C94"/>
    <w:rsid w:val="1C136D9C"/>
    <w:rsid w:val="1CAB1305"/>
    <w:rsid w:val="1D8B0D7D"/>
    <w:rsid w:val="1E592193"/>
    <w:rsid w:val="20FF2B1B"/>
    <w:rsid w:val="225552C2"/>
    <w:rsid w:val="231D1A45"/>
    <w:rsid w:val="253A7139"/>
    <w:rsid w:val="27981500"/>
    <w:rsid w:val="27FC7A4C"/>
    <w:rsid w:val="2CFB314A"/>
    <w:rsid w:val="30EF050E"/>
    <w:rsid w:val="32EB4B2A"/>
    <w:rsid w:val="340C1687"/>
    <w:rsid w:val="37AB4A5C"/>
    <w:rsid w:val="3AC647DA"/>
    <w:rsid w:val="3BD50DA7"/>
    <w:rsid w:val="3D9848F1"/>
    <w:rsid w:val="411C3143"/>
    <w:rsid w:val="41D420CD"/>
    <w:rsid w:val="43CE6D63"/>
    <w:rsid w:val="4A246ACB"/>
    <w:rsid w:val="4A9F0092"/>
    <w:rsid w:val="4B8313CC"/>
    <w:rsid w:val="4CB4610C"/>
    <w:rsid w:val="4CCD71FC"/>
    <w:rsid w:val="529F6D94"/>
    <w:rsid w:val="534A168D"/>
    <w:rsid w:val="5A357DF1"/>
    <w:rsid w:val="5CD70AC4"/>
    <w:rsid w:val="5CE22026"/>
    <w:rsid w:val="5F8B3944"/>
    <w:rsid w:val="61B70079"/>
    <w:rsid w:val="65B11C32"/>
    <w:rsid w:val="6B942D10"/>
    <w:rsid w:val="6BA114AE"/>
    <w:rsid w:val="78C76A85"/>
    <w:rsid w:val="79D67AE3"/>
    <w:rsid w:val="7A21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4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uppressAutoHyphens/>
      <w:snapToGrid w:val="0"/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customStyle="1" w:styleId="4">
    <w:name w:val="p0"/>
    <w:basedOn w:val="1"/>
    <w:qFormat/>
    <w:uiPriority w:val="0"/>
    <w:pPr>
      <w:widowControl/>
      <w:spacing w:line="365" w:lineRule="atLeast"/>
      <w:ind w:left="1"/>
    </w:pPr>
    <w:rPr>
      <w:kern w:val="0"/>
      <w:sz w:val="20"/>
    </w:r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">
    <w:name w:val="BodyTextIndent2"/>
    <w:basedOn w:val="1"/>
    <w:qFormat/>
    <w:uiPriority w:val="0"/>
    <w:pPr>
      <w:spacing w:after="120" w:line="480" w:lineRule="auto"/>
      <w:ind w:left="420" w:leftChars="200"/>
      <w:textAlignment w:val="baseline"/>
    </w:pPr>
  </w:style>
  <w:style w:type="character" w:customStyle="1" w:styleId="12">
    <w:name w:val="font31"/>
    <w:basedOn w:val="10"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3">
    <w:name w:val="font122"/>
    <w:basedOn w:val="10"/>
    <w:qFormat/>
    <w:uiPriority w:val="0"/>
    <w:rPr>
      <w:rFonts w:ascii="方正楷体_GBK" w:hAnsi="方正楷体_GBK" w:eastAsia="方正楷体_GBK" w:cs="方正楷体_GBK"/>
      <w:color w:val="000000"/>
      <w:sz w:val="22"/>
      <w:szCs w:val="22"/>
      <w:u w:val="none"/>
    </w:rPr>
  </w:style>
  <w:style w:type="character" w:customStyle="1" w:styleId="14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101"/>
    <w:basedOn w:val="10"/>
    <w:qFormat/>
    <w:uiPriority w:val="0"/>
    <w:rPr>
      <w:rFonts w:ascii="方正楷体_GBK" w:hAnsi="方正楷体_GBK" w:eastAsia="方正楷体_GBK" w:cs="方正楷体_GBK"/>
      <w:color w:val="000000"/>
      <w:sz w:val="22"/>
      <w:szCs w:val="22"/>
      <w:u w:val="none"/>
    </w:rPr>
  </w:style>
  <w:style w:type="character" w:customStyle="1" w:styleId="17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7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1376</Words>
  <Characters>1437</Characters>
  <Lines>0</Lines>
  <Paragraphs>0</Paragraphs>
  <TotalTime>0</TotalTime>
  <ScaleCrop>false</ScaleCrop>
  <LinksUpToDate>false</LinksUpToDate>
  <CharactersWithSpaces>1437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2021-10-16T03:01:00Z</dcterms:created>
  <dc:creator>Administrator</dc:creator>
  <cp:lastModifiedBy>Administrator</cp:lastModifiedBy>
  <cp:lastPrinted>2022-02-26T00:46:00Z</cp:lastPrinted>
  <dcterms:modified xsi:type="dcterms:W3CDTF">2022-03-24T02:03:15Z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23228C9659DB42EFADA9591FA1A560E8</vt:lpwstr>
  </property>
</Properties>
</file>