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ascii="等线" w:hAnsi="等线" w:eastAsia="等线" w:cs="等线"/>
          <w:b/>
          <w:bCs/>
          <w:color w:val="333333"/>
          <w:sz w:val="28"/>
          <w:szCs w:val="28"/>
          <w:highlight w:val="white"/>
        </w:rPr>
        <w:t>台州学院高等研究院</w:t>
      </w:r>
      <w:r>
        <w:rPr>
          <w:rFonts w:hint="eastAsia" w:ascii="等线" w:hAnsi="等线" w:eastAsia="等线" w:cs="等线"/>
          <w:b/>
          <w:bCs/>
          <w:color w:val="333333"/>
          <w:sz w:val="28"/>
          <w:szCs w:val="28"/>
          <w:highlight w:val="white"/>
        </w:rPr>
        <w:t>——智能</w:t>
      </w:r>
      <w:r>
        <w:rPr>
          <w:rFonts w:ascii="等线" w:hAnsi="等线" w:eastAsia="等线" w:cs="等线"/>
          <w:b/>
          <w:bCs/>
          <w:color w:val="333333"/>
          <w:sz w:val="28"/>
          <w:szCs w:val="28"/>
          <w:highlight w:val="white"/>
        </w:rPr>
        <w:t>信息处理研究所招聘启事</w:t>
      </w:r>
    </w:p>
    <w:p>
      <w:pPr>
        <w:ind w:firstLine="408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台州学院是一所经教育部批准的全日制综合性普通本科高校，坐落在新兴的滨海城市——浙江台州</w:t>
      </w:r>
      <w:r>
        <w:rPr>
          <w:color w:val="333333"/>
          <w:sz w:val="18"/>
          <w:szCs w:val="18"/>
        </w:rPr>
        <w:t>。台州</w:t>
      </w:r>
      <w:r>
        <w:rPr>
          <w:rFonts w:hint="eastAsia"/>
          <w:color w:val="333333"/>
          <w:sz w:val="18"/>
          <w:szCs w:val="18"/>
        </w:rPr>
        <w:t>，</w:t>
      </w:r>
      <w:r>
        <w:rPr>
          <w:color w:val="333333"/>
          <w:sz w:val="18"/>
          <w:szCs w:val="18"/>
        </w:rPr>
        <w:t>享有</w:t>
      </w:r>
      <w:r>
        <w:rPr>
          <w:rFonts w:ascii="Arial" w:hAnsi="Arial" w:eastAsia="Arial" w:cs="Arial"/>
          <w:color w:val="333333"/>
          <w:sz w:val="18"/>
          <w:szCs w:val="18"/>
        </w:rPr>
        <w:t>“</w:t>
      </w:r>
      <w:r>
        <w:rPr>
          <w:color w:val="333333"/>
          <w:sz w:val="18"/>
          <w:szCs w:val="18"/>
        </w:rPr>
        <w:t>制造之都</w:t>
      </w:r>
      <w:r>
        <w:rPr>
          <w:rFonts w:hint="eastAsia"/>
          <w:color w:val="333333"/>
          <w:sz w:val="18"/>
          <w:szCs w:val="18"/>
        </w:rPr>
        <w:t>、</w:t>
      </w:r>
      <w:r>
        <w:rPr>
          <w:color w:val="333333"/>
          <w:sz w:val="18"/>
          <w:szCs w:val="18"/>
        </w:rPr>
        <w:t>山海水城、和合圣地</w:t>
      </w:r>
      <w:r>
        <w:rPr>
          <w:rFonts w:ascii="Arial" w:hAnsi="Arial" w:eastAsia="Arial" w:cs="Arial"/>
          <w:color w:val="333333"/>
          <w:sz w:val="18"/>
          <w:szCs w:val="18"/>
        </w:rPr>
        <w:t>”</w:t>
      </w:r>
      <w:r>
        <w:rPr>
          <w:color w:val="333333"/>
          <w:sz w:val="18"/>
          <w:szCs w:val="18"/>
        </w:rPr>
        <w:t>之美誉，</w:t>
      </w:r>
      <w:r>
        <w:rPr>
          <w:rFonts w:ascii="Arial" w:hAnsi="Arial" w:eastAsia="Arial" w:cs="Arial"/>
          <w:color w:val="333333"/>
          <w:sz w:val="18"/>
          <w:szCs w:val="18"/>
        </w:rPr>
        <w:t xml:space="preserve"> 2017</w:t>
      </w:r>
      <w:r>
        <w:rPr>
          <w:rFonts w:hint="eastAsia" w:cs="Arial" w:asciiTheme="minorEastAsia" w:hAnsiTheme="minorEastAsia"/>
          <w:color w:val="333333"/>
          <w:sz w:val="18"/>
          <w:szCs w:val="18"/>
        </w:rPr>
        <w:t>-</w:t>
      </w:r>
      <w:r>
        <w:rPr>
          <w:rFonts w:hint="eastAsia" w:ascii="Arial" w:hAnsi="Arial" w:cs="Arial"/>
          <w:color w:val="333333"/>
          <w:sz w:val="18"/>
          <w:szCs w:val="18"/>
        </w:rPr>
        <w:t>2020</w:t>
      </w:r>
      <w:r>
        <w:rPr>
          <w:color w:val="333333"/>
          <w:sz w:val="18"/>
          <w:szCs w:val="18"/>
        </w:rPr>
        <w:t>年度连续四年</w:t>
      </w:r>
      <w:r>
        <w:rPr>
          <w:rFonts w:hint="eastAsia"/>
          <w:color w:val="333333"/>
          <w:sz w:val="18"/>
          <w:szCs w:val="18"/>
        </w:rPr>
        <w:t>获得“中国最具幸福感城市”荣誉</w:t>
      </w:r>
      <w:r>
        <w:rPr>
          <w:color w:val="333333"/>
          <w:sz w:val="18"/>
          <w:szCs w:val="18"/>
        </w:rPr>
        <w:t>。台州交通便捷</w:t>
      </w:r>
      <w:r>
        <w:rPr>
          <w:rFonts w:hint="eastAsia"/>
          <w:color w:val="333333"/>
          <w:sz w:val="18"/>
          <w:szCs w:val="18"/>
        </w:rPr>
        <w:t>，</w:t>
      </w:r>
      <w:r>
        <w:rPr>
          <w:color w:val="333333"/>
          <w:sz w:val="18"/>
          <w:szCs w:val="18"/>
        </w:rPr>
        <w:t>拥有</w:t>
      </w:r>
      <w:r>
        <w:rPr>
          <w:rFonts w:hint="eastAsia"/>
          <w:color w:val="333333"/>
          <w:sz w:val="18"/>
          <w:szCs w:val="18"/>
        </w:rPr>
        <w:t>台州路桥机场，</w:t>
      </w:r>
      <w:r>
        <w:rPr>
          <w:color w:val="333333"/>
          <w:sz w:val="18"/>
          <w:szCs w:val="18"/>
        </w:rPr>
        <w:t>沿海杭绍台高铁</w:t>
      </w:r>
      <w:r>
        <w:rPr>
          <w:rFonts w:hint="eastAsia"/>
          <w:color w:val="333333"/>
          <w:sz w:val="18"/>
          <w:szCs w:val="18"/>
        </w:rPr>
        <w:t>（台州至杭州进入1小时生活圈）和甬台温高铁，建有两个高铁站——台州站（毗邻台州学院西北门）和台州西站。</w:t>
      </w:r>
    </w:p>
    <w:p>
      <w:pPr>
        <w:ind w:firstLine="408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学校分椒江、临海两地三校区办学，总占地面积1670亩。学校现有教职工1500余人，拥有长江学者、国家万人计划领军人才、国家级引才专家等省部级以上层次人才25人，浙江省151人才等省级人才80余人，博士500余人，110余人受聘担任国内名校的研究生导师。2019年入选浙江省应用型建设试点示范学校，2020年进入中国应用型大学排行榜前十强。2020年，与科学研究水平相关的自然指数（Nature Index）排名，居省内高校第10位和国内高校第144位（含港澳台高校）。</w:t>
      </w:r>
    </w:p>
    <w:p>
      <w:pPr>
        <w:ind w:firstLine="408" w:firstLineChars="20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智能信息处理</w:t>
      </w:r>
      <w:r>
        <w:rPr>
          <w:sz w:val="18"/>
          <w:szCs w:val="18"/>
        </w:rPr>
        <w:t>研究所隶属于台州学院高等研究院</w:t>
      </w:r>
      <w:r>
        <w:rPr>
          <w:rFonts w:hint="eastAsia"/>
          <w:sz w:val="18"/>
          <w:szCs w:val="18"/>
        </w:rPr>
        <w:t>，现</w:t>
      </w:r>
      <w:r>
        <w:rPr>
          <w:sz w:val="18"/>
          <w:szCs w:val="18"/>
        </w:rPr>
        <w:t>与北京大学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中科院</w:t>
      </w:r>
      <w:r>
        <w:rPr>
          <w:rFonts w:hint="eastAsia"/>
          <w:sz w:val="18"/>
          <w:szCs w:val="18"/>
        </w:rPr>
        <w:t>计算</w:t>
      </w:r>
      <w:r>
        <w:rPr>
          <w:sz w:val="18"/>
          <w:szCs w:val="18"/>
        </w:rPr>
        <w:t>所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浙江大学</w:t>
      </w:r>
      <w:r>
        <w:rPr>
          <w:rFonts w:hint="eastAsia"/>
          <w:sz w:val="18"/>
          <w:szCs w:val="18"/>
        </w:rPr>
        <w:t>、</w:t>
      </w:r>
      <w:bookmarkStart w:id="2" w:name="_GoBack"/>
      <w:bookmarkEnd w:id="2"/>
      <w:r>
        <w:rPr>
          <w:sz w:val="18"/>
          <w:szCs w:val="18"/>
        </w:rPr>
        <w:t>杭州电子科技大学等高校建立了长期合作关系</w:t>
      </w:r>
      <w:r>
        <w:rPr>
          <w:rFonts w:hint="eastAsia"/>
          <w:sz w:val="18"/>
          <w:szCs w:val="18"/>
        </w:rPr>
        <w:t>。研究所研究方向主要为情感计算、多媒体信息技术、计算机视觉与模式识别、医学图像处理、面向人工智能和大数据技术的多学科交叉及应用。</w:t>
      </w:r>
    </w:p>
    <w:p>
      <w:pPr>
        <w:ind w:firstLine="408" w:firstLineChars="200"/>
        <w:jc w:val="left"/>
        <w:rPr>
          <w:rFonts w:hint="eastAsia"/>
          <w:sz w:val="18"/>
          <w:szCs w:val="18"/>
        </w:rPr>
      </w:pPr>
    </w:p>
    <w:p>
      <w:pPr>
        <w:ind w:firstLine="409" w:firstLineChars="200"/>
        <w:jc w:val="left"/>
        <w:rPr>
          <w:sz w:val="18"/>
          <w:szCs w:val="18"/>
        </w:rPr>
      </w:pPr>
      <w:r>
        <w:rPr>
          <w:b/>
          <w:sz w:val="18"/>
          <w:szCs w:val="18"/>
        </w:rPr>
        <w:t>现</w:t>
      </w:r>
      <w:r>
        <w:rPr>
          <w:rFonts w:hint="eastAsia"/>
          <w:b/>
          <w:sz w:val="18"/>
          <w:szCs w:val="18"/>
        </w:rPr>
        <w:t>国家杰青、省万人团队</w:t>
      </w:r>
      <w:r>
        <w:rPr>
          <w:b/>
          <w:sz w:val="18"/>
          <w:szCs w:val="18"/>
        </w:rPr>
        <w:t>诚聘科研岗教师3</w:t>
      </w:r>
      <w:r>
        <w:rPr>
          <w:rFonts w:hint="eastAsia"/>
          <w:b/>
          <w:sz w:val="18"/>
          <w:szCs w:val="18"/>
        </w:rPr>
        <w:t>-5</w:t>
      </w:r>
      <w:r>
        <w:rPr>
          <w:b/>
          <w:sz w:val="18"/>
          <w:szCs w:val="18"/>
        </w:rPr>
        <w:t>名，具体事宜如下</w:t>
      </w:r>
      <w:r>
        <w:rPr>
          <w:sz w:val="18"/>
          <w:szCs w:val="18"/>
        </w:rPr>
        <w:t>：</w:t>
      </w:r>
    </w:p>
    <w:p>
      <w:pPr>
        <w:jc w:val="left"/>
        <w:rPr>
          <w:sz w:val="18"/>
          <w:szCs w:val="18"/>
        </w:rPr>
      </w:pPr>
      <w:r>
        <w:rPr>
          <w:rFonts w:ascii="等线" w:hAnsi="等线" w:eastAsia="等线" w:cs="等线"/>
          <w:b/>
          <w:bCs/>
          <w:color w:val="000000"/>
          <w:sz w:val="18"/>
          <w:szCs w:val="18"/>
          <w:highlight w:val="white"/>
        </w:rPr>
        <w:t>一、科研岗教师</w:t>
      </w:r>
    </w:p>
    <w:p>
      <w:pPr>
        <w:jc w:val="left"/>
        <w:rPr>
          <w:sz w:val="18"/>
          <w:szCs w:val="18"/>
        </w:rPr>
      </w:pPr>
      <w:r>
        <w:rPr>
          <w:rFonts w:ascii="等线" w:hAnsi="等线" w:eastAsia="等线" w:cs="等线"/>
          <w:b/>
          <w:bCs/>
          <w:color w:val="333333"/>
          <w:sz w:val="18"/>
          <w:szCs w:val="18"/>
          <w:highlight w:val="white"/>
        </w:rPr>
        <w:t>（一）岗位职责：</w:t>
      </w:r>
    </w:p>
    <w:p>
      <w:pPr>
        <w:jc w:val="lef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.</w:t>
      </w:r>
      <w:r>
        <w:rPr>
          <w:rFonts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 xml:space="preserve"> 以科研为主</w:t>
      </w:r>
      <w:r>
        <w:rPr>
          <w:rFonts w:hint="eastAsia"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，</w:t>
      </w:r>
      <w:r>
        <w:rPr>
          <w:rFonts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参与各类项目申请、研究论文发表、成果转化、学术交流等；</w:t>
      </w:r>
    </w:p>
    <w:p>
      <w:pPr>
        <w:jc w:val="left"/>
        <w:rPr>
          <w:rFonts w:ascii="等线" w:hAnsi="等线" w:eastAsia="等线" w:cs="等线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承担少量的本科生教学与毕业论文指导工作</w:t>
      </w:r>
      <w:r>
        <w:rPr>
          <w:rFonts w:hint="eastAsia"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若符合条件可申请相应的研究生招生资格，招收并指导研究生</w:t>
      </w:r>
      <w:r>
        <w:rPr>
          <w:rFonts w:hint="eastAsia" w:cs="Arial" w:asciiTheme="minorEastAsia" w:hAnsiTheme="minorEastAsia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等线"/>
          <w:b/>
          <w:bCs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（二）任职要求：</w:t>
      </w:r>
    </w:p>
    <w:p>
      <w:pPr>
        <w:jc w:val="lef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具有较强的科研能力、敬业精神，且能够独立、尽职尽责地完成科研工作</w:t>
      </w:r>
      <w:r>
        <w:rPr>
          <w:rFonts w:hint="eastAsia" w:ascii="等线" w:hAnsi="等线" w:eastAsia="等线" w:cs="等线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Arial" w:hAnsi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cs="Arial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计算机科学与技术、信息与通信工程、模式识别与智能系统、控制科学与工程、电子科学与技术、应用数学等相关学科，并</w:t>
      </w:r>
      <w:r>
        <w:rPr>
          <w:rFonts w:ascii="Arial" w:hAnsi="Arial" w:eastAsia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发表过中科院</w:t>
      </w:r>
      <w:r>
        <w:rPr>
          <w:rFonts w:hint="eastAsia" w:ascii="Arial" w:hAnsi="Arial" w:eastAsia="Arial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一区/二区、CCF A/B类 会议或期刊论文的博士优先考虑</w:t>
      </w:r>
      <w:r>
        <w:rPr>
          <w:rFonts w:hint="eastAsia" w:cs="Arial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等线"/>
          <w:b/>
          <w:bCs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（三）福利待遇：</w:t>
      </w:r>
    </w:p>
    <w:p>
      <w:pPr>
        <w:ind w:firstLine="408" w:firstLineChars="200"/>
        <w:jc w:val="left"/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享受</w:t>
      </w:r>
      <w:r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我校的高层次人才引进政策</w:t>
      </w:r>
      <w:r>
        <w:rPr>
          <w:rFonts w:hint="eastAsia" w:cs="Arial" w:asciiTheme="minorEastAsia" w:hAnsiTheme="minorEastAsia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详情见https://rsc.tzc.edu.cn/info/1040/3165.htm</w:t>
      </w:r>
      <w:r>
        <w:rPr>
          <w:rFonts w:hint="eastAsia" w:cs="Arial" w:asciiTheme="minorEastAsia" w:hAnsiTheme="minorEastAsia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）</w:t>
      </w:r>
      <w:r>
        <w:rPr>
          <w:rFonts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，给予安家费、科研启动费、购房补贴等优厚的引进待遇</w:t>
      </w:r>
      <w:r>
        <w:rPr>
          <w:rFonts w:hint="eastAsia" w:ascii="Arial" w:hAnsi="Arial" w:eastAsia="Arial" w:cs="Arial"/>
          <w:color w:val="000000" w:themeColor="text1"/>
          <w:sz w:val="18"/>
          <w:szCs w:val="18"/>
          <w:highlight w:val="white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等线" w:hAnsi="等线" w:eastAsia="等线" w:cs="等线"/>
          <w:color w:val="333333"/>
          <w:sz w:val="21"/>
          <w:szCs w:val="21"/>
          <w:highlight w:val="white"/>
        </w:rPr>
      </w:pPr>
      <w:r>
        <w:drawing>
          <wp:inline distT="0" distB="0" distL="0" distR="0">
            <wp:extent cx="3699510" cy="31222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等线" w:hAnsi="等线" w:eastAsia="等线" w:cs="等线"/>
          <w:b/>
          <w:bCs/>
          <w:color w:val="333333"/>
          <w:sz w:val="18"/>
          <w:szCs w:val="18"/>
          <w:highlight w:val="white"/>
          <w:lang w:eastAsia="zh-CN"/>
        </w:rPr>
      </w:pPr>
      <w:r>
        <w:rPr>
          <w:rFonts w:ascii="等线" w:hAnsi="等线" w:eastAsia="等线" w:cs="等线"/>
          <w:b/>
          <w:bCs/>
          <w:color w:val="333333"/>
          <w:sz w:val="18"/>
          <w:szCs w:val="18"/>
          <w:highlight w:val="white"/>
        </w:rPr>
        <w:t>以上招聘信息长期有效，招满</w:t>
      </w:r>
      <w:r>
        <w:rPr>
          <w:rFonts w:hint="eastAsia" w:ascii="等线" w:hAnsi="等线" w:eastAsia="等线" w:cs="等线"/>
          <w:b/>
          <w:bCs/>
          <w:color w:val="333333"/>
          <w:sz w:val="18"/>
          <w:szCs w:val="18"/>
          <w:highlight w:val="white"/>
        </w:rPr>
        <w:t>为止</w:t>
      </w:r>
      <w:r>
        <w:rPr>
          <w:rFonts w:ascii="等线" w:hAnsi="等线" w:eastAsia="等线" w:cs="等线"/>
          <w:b/>
          <w:bCs/>
          <w:color w:val="333333"/>
          <w:sz w:val="18"/>
          <w:szCs w:val="18"/>
          <w:highlight w:val="white"/>
        </w:rPr>
        <w:t>。应聘者简历</w:t>
      </w:r>
      <w:r>
        <w:rPr>
          <w:rFonts w:hint="eastAsia" w:ascii="等线" w:hAnsi="等线" w:eastAsia="等线" w:cs="等线"/>
          <w:b/>
          <w:bCs/>
          <w:color w:val="333333"/>
          <w:sz w:val="18"/>
          <w:szCs w:val="18"/>
          <w:highlight w:val="white"/>
        </w:rPr>
        <w:t>，</w:t>
      </w:r>
      <w:r>
        <w:rPr>
          <w:rFonts w:ascii="等线" w:hAnsi="等线" w:eastAsia="等线" w:cs="等线"/>
          <w:b/>
          <w:bCs/>
          <w:color w:val="333333"/>
          <w:sz w:val="18"/>
          <w:szCs w:val="18"/>
          <w:highlight w:val="white"/>
        </w:rPr>
        <w:t>请发送至</w:t>
      </w:r>
      <w:r>
        <w:rPr>
          <w:rFonts w:hint="eastAsia" w:ascii="等线" w:hAnsi="等线" w:eastAsia="等线" w:cs="等线"/>
          <w:b/>
          <w:bCs/>
          <w:color w:val="333333"/>
          <w:sz w:val="18"/>
          <w:szCs w:val="18"/>
          <w:highlight w:val="white"/>
        </w:rPr>
        <w:t>张老师邮箱</w:t>
      </w:r>
      <w:r>
        <w:rPr>
          <w:rFonts w:hint="eastAsia" w:ascii="等线" w:hAnsi="等线" w:eastAsia="等线" w:cs="等线"/>
          <w:b/>
          <w:bCs/>
          <w:color w:val="333333"/>
          <w:sz w:val="18"/>
          <w:szCs w:val="18"/>
          <w:highlight w:val="white"/>
          <w:lang w:eastAsia="zh-CN"/>
        </w:rPr>
        <w:t>：</w:t>
      </w:r>
    </w:p>
    <w:p>
      <w:pPr>
        <w:jc w:val="left"/>
        <w:rPr>
          <w:rFonts w:hint="default" w:ascii="Times New Roman" w:hAnsi="Times New Roman" w:eastAsia="等线" w:cs="Times New Roman"/>
          <w:b/>
          <w:bCs/>
          <w:color w:val="000000" w:themeColor="text1"/>
          <w:sz w:val="21"/>
          <w:szCs w:val="21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highlight w:val="white"/>
          <w:u w:val="none"/>
          <w14:textFill>
            <w14:solidFill>
              <w14:schemeClr w14:val="tx1"/>
            </w14:solidFill>
          </w14:textFill>
        </w:rPr>
        <w:t>tzczsq</w:t>
      </w:r>
      <w:r>
        <w:rPr>
          <w:rFonts w:hint="default" w:ascii="Times New Roman" w:hAnsi="Times New Roman" w:eastAsia="Arial" w:cs="Times New Roman"/>
          <w:b/>
          <w:bCs/>
          <w:color w:val="000000" w:themeColor="text1"/>
          <w:sz w:val="21"/>
          <w:szCs w:val="21"/>
          <w:highlight w:val="white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"http://163.com/" </w:instrTex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5"/>
          <w:rFonts w:hint="default" w:ascii="Times New Roman" w:hAnsi="Times New Roman" w:eastAsia="Arial" w:cs="Times New Roman"/>
          <w:b/>
          <w:bCs/>
          <w:color w:val="000000" w:themeColor="text1"/>
          <w:sz w:val="21"/>
          <w:szCs w:val="21"/>
          <w:highlight w:val="white"/>
          <w:u w:val="none"/>
          <w14:textFill>
            <w14:solidFill>
              <w14:schemeClr w14:val="tx1"/>
            </w14:solidFill>
          </w14:textFill>
        </w:rPr>
        <w:t>163.com</w:t>
      </w:r>
      <w:r>
        <w:rPr>
          <w:rStyle w:val="15"/>
          <w:rFonts w:hint="default" w:ascii="Times New Roman" w:hAnsi="Times New Roman" w:eastAsia="Arial" w:cs="Times New Roman"/>
          <w:b/>
          <w:bCs/>
          <w:color w:val="000000" w:themeColor="text1"/>
          <w:sz w:val="21"/>
          <w:szCs w:val="21"/>
          <w:highlight w:val="whit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5"/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highlight w:val="whit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"mailto:ghjgfhjd@126.com"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5"/>
          <w:rFonts w:hint="default" w:ascii="Times New Roman" w:hAnsi="Times New Roman" w:eastAsia="微软雅黑" w:cs="Times New Roman"/>
          <w:b/>
          <w:bCs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ghjgfhjd@126.com</w:t>
      </w:r>
      <w:r>
        <w:rPr>
          <w:rStyle w:val="15"/>
          <w:rFonts w:hint="default" w:ascii="Times New Roman" w:hAnsi="Times New Roman" w:eastAsia="微软雅黑" w:cs="Times New Roman"/>
          <w:b/>
          <w:bCs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等线" w:cs="Times New Roman"/>
          <w:b/>
          <w:bCs/>
          <w:color w:val="000000" w:themeColor="text1"/>
          <w:sz w:val="21"/>
          <w:szCs w:val="21"/>
          <w:highlight w:val="white"/>
          <w14:textFill>
            <w14:solidFill>
              <w14:schemeClr w14:val="tx1"/>
            </w14:solidFill>
          </w14:textFill>
        </w:rPr>
        <w:t>，初选后将通过电话通知安排面试。</w:t>
      </w:r>
    </w:p>
    <w:p>
      <w:p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发送邮件时标题格式为“</w:t>
      </w:r>
      <w:bookmarkStart w:id="0" w:name="_Hlk73175218"/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海外博士网+</w:t>
      </w:r>
      <w:bookmarkStart w:id="1" w:name="_Hlk66739270"/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岗位-最高学位-姓名-学校-专业</w:t>
      </w:r>
      <w:bookmarkEnd w:id="0"/>
      <w:bookmarkEnd w:id="1"/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</w:p>
    <w:p>
      <w:p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B"/>
    <w:rsid w:val="0000154A"/>
    <w:rsid w:val="000D495E"/>
    <w:rsid w:val="000E4D38"/>
    <w:rsid w:val="0011015C"/>
    <w:rsid w:val="00161141"/>
    <w:rsid w:val="001F64E8"/>
    <w:rsid w:val="00250B6A"/>
    <w:rsid w:val="002D140F"/>
    <w:rsid w:val="00342C6F"/>
    <w:rsid w:val="00383DD2"/>
    <w:rsid w:val="003B2CE8"/>
    <w:rsid w:val="00403AD4"/>
    <w:rsid w:val="004537D8"/>
    <w:rsid w:val="0045739F"/>
    <w:rsid w:val="005D2114"/>
    <w:rsid w:val="005D50BB"/>
    <w:rsid w:val="005F3FB0"/>
    <w:rsid w:val="00615C5D"/>
    <w:rsid w:val="006936CE"/>
    <w:rsid w:val="006B7F43"/>
    <w:rsid w:val="006F1FD7"/>
    <w:rsid w:val="006F43D7"/>
    <w:rsid w:val="00731517"/>
    <w:rsid w:val="007324A1"/>
    <w:rsid w:val="007B2C05"/>
    <w:rsid w:val="00835C6C"/>
    <w:rsid w:val="00897902"/>
    <w:rsid w:val="009302DF"/>
    <w:rsid w:val="00945777"/>
    <w:rsid w:val="0099182B"/>
    <w:rsid w:val="009A46B1"/>
    <w:rsid w:val="009E1C43"/>
    <w:rsid w:val="00A04E24"/>
    <w:rsid w:val="00A73244"/>
    <w:rsid w:val="00A86641"/>
    <w:rsid w:val="00BC5397"/>
    <w:rsid w:val="00BE159C"/>
    <w:rsid w:val="00BF289F"/>
    <w:rsid w:val="00C1485A"/>
    <w:rsid w:val="00C43F78"/>
    <w:rsid w:val="00C50FE8"/>
    <w:rsid w:val="00CA46C7"/>
    <w:rsid w:val="00CE3519"/>
    <w:rsid w:val="00CE59BD"/>
    <w:rsid w:val="00D06766"/>
    <w:rsid w:val="00D278DD"/>
    <w:rsid w:val="00D3425B"/>
    <w:rsid w:val="00DB1ABC"/>
    <w:rsid w:val="00DC4173"/>
    <w:rsid w:val="00DE3C78"/>
    <w:rsid w:val="00E978B8"/>
    <w:rsid w:val="00EA3674"/>
    <w:rsid w:val="00F16568"/>
    <w:rsid w:val="00F2678D"/>
    <w:rsid w:val="00F9781B"/>
    <w:rsid w:val="00FE272B"/>
    <w:rsid w:val="0B880BC2"/>
    <w:rsid w:val="1FC26F46"/>
    <w:rsid w:val="251F2899"/>
    <w:rsid w:val="328E384D"/>
    <w:rsid w:val="388B77B9"/>
    <w:rsid w:val="3D4B1663"/>
    <w:rsid w:val="67230A78"/>
    <w:rsid w:val="76A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2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spacing w:val="12"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pacing w:val="12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pacing w:val="12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pacing w:val="12"/>
      <w:kern w:val="2"/>
      <w:sz w:val="28"/>
      <w:szCs w:val="28"/>
      <w:lang w:val="en-US" w:eastAsia="zh-CN" w:bidi="ar-SA"/>
    </w:rPr>
  </w:style>
  <w:style w:type="paragraph" w:styleId="6">
    <w:name w:val="heading 5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pacing w:val="12"/>
      <w:kern w:val="2"/>
      <w:sz w:val="28"/>
      <w:szCs w:val="28"/>
      <w:lang w:val="en-US" w:eastAsia="zh-CN" w:bidi="ar-SA"/>
    </w:rPr>
  </w:style>
  <w:style w:type="paragraph" w:styleId="7">
    <w:name w:val="heading 6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pacing w:val="12"/>
      <w:kern w:val="2"/>
      <w:sz w:val="24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1"/>
    <w:semiHidden/>
    <w:unhideWhenUsed/>
    <w:qFormat/>
    <w:uiPriority w:val="99"/>
    <w:rPr>
      <w:b/>
      <w:bCs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Normal Paragraph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2"/>
      <w:kern w:val="2"/>
      <w:sz w:val="22"/>
      <w:szCs w:val="22"/>
      <w:lang w:val="en-US" w:eastAsia="zh-CN" w:bidi="ar-SA"/>
    </w:rPr>
  </w:style>
  <w:style w:type="character" w:customStyle="1" w:styleId="18">
    <w:name w:val="Normal Character"/>
    <w:semiHidden/>
    <w:unhideWhenUsed/>
    <w:qFormat/>
    <w:uiPriority w:val="1"/>
  </w:style>
  <w:style w:type="paragraph" w:styleId="19">
    <w:name w:val="List Paragraph"/>
    <w:qFormat/>
    <w:uiPriority w:val="34"/>
    <w:pPr>
      <w:ind w:firstLine="420" w:firstLineChars="200"/>
    </w:pPr>
    <w:rPr>
      <w:rFonts w:asciiTheme="minorHAnsi" w:hAnsiTheme="minorHAnsi" w:eastAsiaTheme="minorEastAsia" w:cstheme="minorBidi"/>
      <w:spacing w:val="12"/>
      <w:kern w:val="2"/>
      <w:sz w:val="22"/>
      <w:szCs w:val="22"/>
      <w:lang w:val="en-US" w:eastAsia="zh-CN" w:bidi="ar-SA"/>
    </w:rPr>
  </w:style>
  <w:style w:type="character" w:customStyle="1" w:styleId="20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Char"/>
    <w:basedOn w:val="18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paragraph" w:customStyle="1" w:styleId="26">
    <w:name w:val="钉钉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pacing w:val="12"/>
      <w:sz w:val="22"/>
      <w:lang w:val="en-US" w:eastAsia="zh-CN" w:bidi="ar-SA"/>
    </w:rPr>
  </w:style>
  <w:style w:type="character" w:customStyle="1" w:styleId="27">
    <w:name w:val="页眉 Char"/>
    <w:basedOn w:val="14"/>
    <w:link w:val="11"/>
    <w:qFormat/>
    <w:uiPriority w:val="99"/>
    <w:rPr>
      <w:rFonts w:asciiTheme="minorHAnsi" w:hAnsiTheme="minorHAnsi" w:eastAsiaTheme="minorEastAsia" w:cstheme="minorBidi"/>
      <w:spacing w:val="12"/>
      <w:kern w:val="2"/>
      <w:sz w:val="18"/>
      <w:szCs w:val="18"/>
    </w:rPr>
  </w:style>
  <w:style w:type="character" w:customStyle="1" w:styleId="28">
    <w:name w:val="页脚 Char"/>
    <w:basedOn w:val="14"/>
    <w:link w:val="10"/>
    <w:qFormat/>
    <w:uiPriority w:val="99"/>
    <w:rPr>
      <w:rFonts w:asciiTheme="minorHAnsi" w:hAnsiTheme="minorHAnsi" w:eastAsiaTheme="minorEastAsia" w:cstheme="minorBidi"/>
      <w:spacing w:val="12"/>
      <w:kern w:val="2"/>
      <w:sz w:val="18"/>
      <w:szCs w:val="18"/>
    </w:rPr>
  </w:style>
  <w:style w:type="character" w:customStyle="1" w:styleId="29">
    <w:name w:val="批注框文本 Char"/>
    <w:basedOn w:val="14"/>
    <w:link w:val="9"/>
    <w:semiHidden/>
    <w:qFormat/>
    <w:uiPriority w:val="99"/>
    <w:rPr>
      <w:rFonts w:asciiTheme="minorHAnsi" w:hAnsiTheme="minorHAnsi" w:eastAsiaTheme="minorEastAsia" w:cstheme="minorBidi"/>
      <w:spacing w:val="12"/>
      <w:kern w:val="2"/>
      <w:sz w:val="18"/>
      <w:szCs w:val="18"/>
    </w:rPr>
  </w:style>
  <w:style w:type="character" w:customStyle="1" w:styleId="30">
    <w:name w:val="批注文字 Char"/>
    <w:basedOn w:val="14"/>
    <w:link w:val="8"/>
    <w:semiHidden/>
    <w:qFormat/>
    <w:uiPriority w:val="99"/>
    <w:rPr>
      <w:rFonts w:asciiTheme="minorHAnsi" w:hAnsiTheme="minorHAnsi" w:eastAsiaTheme="minorEastAsia" w:cstheme="minorBidi"/>
      <w:spacing w:val="12"/>
      <w:kern w:val="2"/>
      <w:sz w:val="22"/>
      <w:szCs w:val="22"/>
    </w:rPr>
  </w:style>
  <w:style w:type="character" w:customStyle="1" w:styleId="31">
    <w:name w:val="批注主题 Char"/>
    <w:basedOn w:val="30"/>
    <w:link w:val="12"/>
    <w:semiHidden/>
    <w:qFormat/>
    <w:uiPriority w:val="99"/>
    <w:rPr>
      <w:rFonts w:asciiTheme="minorHAnsi" w:hAnsiTheme="minorHAnsi" w:eastAsiaTheme="minorEastAsia" w:cstheme="minorBidi"/>
      <w:b/>
      <w:bCs/>
      <w:spacing w:val="12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C3133B2C65DA445BC01E16F6B1031A4" ma:contentTypeVersion="8" ma:contentTypeDescription="新建文档。" ma:contentTypeScope="" ma:versionID="24cce3cb309870206e5ab5c447a7cc26">
  <xsd:schema xmlns:xsd="http://www.w3.org/2001/XMLSchema" xmlns:xs="http://www.w3.org/2001/XMLSchema" xmlns:p="http://schemas.microsoft.com/office/2006/metadata/properties" xmlns:ns2="87d4f7bc-f35e-479b-92d0-9ba783bb0645" targetNamespace="http://schemas.microsoft.com/office/2006/metadata/properties" ma:root="true" ma:fieldsID="a084449721eb9a27a82768ef359ac370" ns2:_="">
    <xsd:import namespace="87d4f7bc-f35e-479b-92d0-9ba783bb0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4f7bc-f35e-479b-92d0-9ba783bb0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68FF6-0CB6-4DE5-800E-D1EE85F97EE9}">
  <ds:schemaRefs/>
</ds:datastoreItem>
</file>

<file path=customXml/itemProps3.xml><?xml version="1.0" encoding="utf-8"?>
<ds:datastoreItem xmlns:ds="http://schemas.openxmlformats.org/officeDocument/2006/customXml" ds:itemID="{F44087B4-3757-40AA-9CBC-5828829E5F5C}">
  <ds:schemaRefs/>
</ds:datastoreItem>
</file>

<file path=customXml/itemProps4.xml><?xml version="1.0" encoding="utf-8"?>
<ds:datastoreItem xmlns:ds="http://schemas.openxmlformats.org/officeDocument/2006/customXml" ds:itemID="{54F2379C-F96F-4315-827C-CAF98DCBA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881</Characters>
  <Lines>7</Lines>
  <Paragraphs>2</Paragraphs>
  <TotalTime>2</TotalTime>
  <ScaleCrop>false</ScaleCrop>
  <LinksUpToDate>false</LinksUpToDate>
  <CharactersWithSpaces>1033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2021-10-09T01:20:00Z</dcterms:created>
  <dc:creator>DingTalk</dc:creator>
  <dc:description>钉钉文档-beta50-259b0831a6</dc:description>
  <cp:lastModifiedBy>HP</cp:lastModifiedBy>
  <dcterms:modified xsi:type="dcterms:W3CDTF">2021-10-10T07:08:30Z</dcterms:modified>
  <dc:title>DingTalk Document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0x0101009C3133B2C65DA445BC01E16F6B1031A4</vt:lpwstr>
  </property>
  <property fmtid="{D5CDD505-2E9C-101B-9397-08002B2CF9AE}" pid="3" name="KSOProductBuildVer">
    <vt:lpwstr>2052-11.1.0.9995</vt:lpwstr>
  </property>
</Properties>
</file>