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b/>
          <w:sz w:val="44"/>
          <w:szCs w:val="44"/>
        </w:rPr>
      </w:pPr>
      <w:r>
        <w:rPr>
          <w:rFonts w:ascii="方正小标宋简体" w:hAnsi="宋体" w:eastAsia="方正小标宋简体"/>
          <w:b/>
          <w:sz w:val="44"/>
          <w:szCs w:val="44"/>
        </w:rPr>
        <w:t>年轻就要有“冶”心</w:t>
      </w:r>
    </w:p>
    <w:p>
      <w:pPr>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中国二十二冶集团有限公司2022年</w:t>
      </w:r>
    </w:p>
    <w:p>
      <w:pPr>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校园招聘简章</w:t>
      </w:r>
    </w:p>
    <w:p>
      <w:pPr>
        <w:rPr>
          <w:rFonts w:ascii="宋体" w:hAnsi="宋体"/>
          <w:b/>
          <w:sz w:val="28"/>
        </w:rPr>
      </w:pPr>
    </w:p>
    <w:p>
      <w:pPr>
        <w:spacing w:line="360" w:lineRule="auto"/>
        <w:ind w:firstLine="643" w:firstLineChars="200"/>
        <w:rPr>
          <w:rFonts w:ascii="黑体" w:hAnsi="黑体" w:eastAsia="黑体"/>
          <w:b/>
          <w:sz w:val="32"/>
          <w:szCs w:val="32"/>
        </w:rPr>
      </w:pPr>
      <w:r>
        <w:rPr>
          <w:rFonts w:hint="eastAsia" w:ascii="黑体" w:hAnsi="黑体" w:eastAsia="黑体"/>
          <w:b/>
          <w:sz w:val="32"/>
          <w:szCs w:val="32"/>
        </w:rPr>
        <w:t>一、公司简介</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中国二十二冶集团有限公司（简称中国二十二冶集团），是世界企业500强中国五矿集团的重要骨干子企业。</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中国二十二冶集团是以工程总承包、房地产开发、技术装备制造、多元化产业为主营业务的综合性大型企业集团。具有房屋建筑和冶金工程施工总承包双特级资质，拥有年产能力达100万吨以生产工业与民用建筑钢结构产品为主三座较大规模的现代化大型工业园，是中国钢结构协会授予的国家钢结构制造特级企业。同时也是国家钢结构工程技术研究中心制作技术研究分中心、国家装配式建筑产业基地，先后承建和参建了大批国家或地方的各类建设项目，百余项工程分别获得国家建筑业鲁班奖、国家优质工程奖、全国用户满意工程、样板工程奖等。</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中国二十二冶集团始终秉持“做冶金建设国家队、基本建设主力军、新兴产业领跑者、长期坚持走高技术高质量发展之路”的战略定位，正在向着建设成为全产业链工程总承包建筑服务商、全生命周期城市投资建设运营商、核心知识产权技术装备制造商和资源节约型、环境友好型多元化产业开发商的集团化大型企业奋勇前进。</w:t>
      </w:r>
    </w:p>
    <w:p>
      <w:pPr>
        <w:ind w:firstLine="643" w:firstLineChars="200"/>
        <w:rPr>
          <w:rFonts w:ascii="黑体" w:hAnsi="黑体" w:eastAsia="黑体"/>
          <w:b/>
          <w:sz w:val="32"/>
          <w:szCs w:val="32"/>
        </w:rPr>
      </w:pPr>
      <w:r>
        <w:rPr>
          <w:rFonts w:hint="eastAsia" w:ascii="黑体" w:hAnsi="黑体" w:eastAsia="黑体"/>
          <w:b/>
          <w:sz w:val="32"/>
          <w:szCs w:val="32"/>
        </w:rPr>
        <w:t>二、招聘条件及专业</w:t>
      </w:r>
    </w:p>
    <w:p>
      <w:pPr>
        <w:spacing w:line="360" w:lineRule="auto"/>
        <w:ind w:firstLine="660"/>
        <w:rPr>
          <w:rFonts w:ascii="楷体" w:hAnsi="楷体" w:eastAsia="楷体"/>
          <w:b/>
          <w:sz w:val="32"/>
          <w:szCs w:val="32"/>
        </w:rPr>
      </w:pPr>
      <w:r>
        <w:rPr>
          <w:rFonts w:hint="eastAsia" w:ascii="楷体" w:hAnsi="楷体" w:eastAsia="楷体"/>
          <w:b/>
          <w:sz w:val="32"/>
          <w:szCs w:val="32"/>
        </w:rPr>
        <w:t>（一）基本条件</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1.思想政治素质高，品德优良；</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2.身体健康，心理素质好，普通话标准，具备良好的沟通能力，适应外地施工要求；</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3.具有较强的相关专业知识和一定的实践经验，能熟练的使用计算机及办公软件；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4.认同二十二冶集团企业文化，具有创新意识和团队合作精神，服从分配。</w:t>
      </w:r>
    </w:p>
    <w:p>
      <w:pPr>
        <w:spacing w:line="360" w:lineRule="auto"/>
        <w:ind w:firstLine="660"/>
        <w:rPr>
          <w:rFonts w:ascii="楷体" w:hAnsi="楷体" w:eastAsia="楷体"/>
          <w:b/>
          <w:sz w:val="32"/>
          <w:szCs w:val="32"/>
        </w:rPr>
      </w:pPr>
      <w:r>
        <w:rPr>
          <w:rFonts w:hint="eastAsia" w:ascii="楷体" w:hAnsi="楷体" w:eastAsia="楷体"/>
          <w:b/>
          <w:sz w:val="32"/>
          <w:szCs w:val="32"/>
        </w:rPr>
        <w:t>（二）岗位要求</w:t>
      </w:r>
    </w:p>
    <w:tbl>
      <w:tblPr>
        <w:tblStyle w:val="6"/>
        <w:tblpPr w:leftFromText="180" w:rightFromText="180" w:vertAnchor="text" w:horzAnchor="margin" w:tblpXSpec="center" w:tblpY="625"/>
        <w:tblW w:w="8212" w:type="dxa"/>
        <w:tblInd w:w="0" w:type="dxa"/>
        <w:tblLayout w:type="autofit"/>
        <w:tblCellMar>
          <w:top w:w="0" w:type="dxa"/>
          <w:left w:w="108" w:type="dxa"/>
          <w:bottom w:w="0" w:type="dxa"/>
          <w:right w:w="108" w:type="dxa"/>
        </w:tblCellMar>
      </w:tblPr>
      <w:tblGrid>
        <w:gridCol w:w="1135"/>
        <w:gridCol w:w="1167"/>
        <w:gridCol w:w="5910"/>
      </w:tblGrid>
      <w:tr>
        <w:tblPrEx>
          <w:tblCellMar>
            <w:top w:w="0" w:type="dxa"/>
            <w:left w:w="108" w:type="dxa"/>
            <w:bottom w:w="0" w:type="dxa"/>
            <w:right w:w="108" w:type="dxa"/>
          </w:tblCellMar>
        </w:tblPrEx>
        <w:trPr>
          <w:trHeight w:val="559"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岗位</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学历</w:t>
            </w:r>
          </w:p>
        </w:tc>
        <w:tc>
          <w:tcPr>
            <w:tcW w:w="59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专  业</w:t>
            </w:r>
          </w:p>
        </w:tc>
      </w:tr>
      <w:tr>
        <w:tblPrEx>
          <w:tblCellMar>
            <w:top w:w="0" w:type="dxa"/>
            <w:left w:w="108" w:type="dxa"/>
            <w:bottom w:w="0" w:type="dxa"/>
            <w:right w:w="108" w:type="dxa"/>
          </w:tblCellMar>
        </w:tblPrEx>
        <w:trPr>
          <w:trHeight w:val="1266"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设计研发</w:t>
            </w:r>
          </w:p>
        </w:tc>
        <w:tc>
          <w:tcPr>
            <w:tcW w:w="11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博士</w:t>
            </w:r>
          </w:p>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硕士</w:t>
            </w:r>
          </w:p>
        </w:tc>
        <w:tc>
          <w:tcPr>
            <w:tcW w:w="59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szCs w:val="21"/>
              </w:rPr>
              <w:t>建筑学、土木工程、结构工程、市政工程、工程力学、岩土工程、机械制造及其自动化、电气工程及其自动化、给排水工程等相关专业</w:t>
            </w:r>
          </w:p>
        </w:tc>
      </w:tr>
      <w:tr>
        <w:tblPrEx>
          <w:tblCellMar>
            <w:top w:w="0" w:type="dxa"/>
            <w:left w:w="108" w:type="dxa"/>
            <w:bottom w:w="0" w:type="dxa"/>
            <w:right w:w="108" w:type="dxa"/>
          </w:tblCellMar>
        </w:tblPrEx>
        <w:trPr>
          <w:trHeight w:val="1412"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技术</w:t>
            </w:r>
          </w:p>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质量</w:t>
            </w:r>
          </w:p>
        </w:tc>
        <w:tc>
          <w:tcPr>
            <w:tcW w:w="11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本科</w:t>
            </w:r>
          </w:p>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及以上</w:t>
            </w:r>
          </w:p>
        </w:tc>
        <w:tc>
          <w:tcPr>
            <w:tcW w:w="59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szCs w:val="21"/>
              </w:rPr>
            </w:pPr>
            <w:r>
              <w:rPr>
                <w:rFonts w:hint="eastAsia" w:ascii="仿宋_GB2312" w:hAnsi="宋体" w:eastAsia="仿宋_GB2312"/>
                <w:szCs w:val="21"/>
              </w:rPr>
              <w:t>土木工程、工程管理、测绘工程、给排水工程、建筑学、工程力学、建筑环境与能源应用工程、道路桥梁与渡河工程、交通工程、机械制造及其自动化、焊接技术、电气工程及其自动化等相关专业</w:t>
            </w:r>
          </w:p>
        </w:tc>
      </w:tr>
      <w:tr>
        <w:tblPrEx>
          <w:tblCellMar>
            <w:top w:w="0" w:type="dxa"/>
            <w:left w:w="108" w:type="dxa"/>
            <w:bottom w:w="0" w:type="dxa"/>
            <w:right w:w="108" w:type="dxa"/>
          </w:tblCellMar>
        </w:tblPrEx>
        <w:trPr>
          <w:trHeight w:val="1545"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安全</w:t>
            </w:r>
          </w:p>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工程</w:t>
            </w:r>
          </w:p>
        </w:tc>
        <w:tc>
          <w:tcPr>
            <w:tcW w:w="11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本科</w:t>
            </w:r>
          </w:p>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及以上</w:t>
            </w:r>
          </w:p>
        </w:tc>
        <w:tc>
          <w:tcPr>
            <w:tcW w:w="5910" w:type="dxa"/>
            <w:tcBorders>
              <w:top w:val="nil"/>
              <w:left w:val="nil"/>
              <w:bottom w:val="single" w:color="auto" w:sz="4" w:space="0"/>
              <w:right w:val="single" w:color="auto" w:sz="4" w:space="0"/>
            </w:tcBorders>
            <w:shd w:val="clear" w:color="auto" w:fill="auto"/>
            <w:noWrap/>
            <w:vAlign w:val="center"/>
          </w:tcPr>
          <w:p>
            <w:pPr>
              <w:jc w:val="left"/>
              <w:rPr>
                <w:rFonts w:ascii="仿宋_GB2312" w:hAnsi="宋体" w:eastAsia="仿宋_GB2312"/>
                <w:szCs w:val="21"/>
              </w:rPr>
            </w:pPr>
            <w:r>
              <w:rPr>
                <w:rFonts w:hint="eastAsia" w:ascii="仿宋_GB2312" w:hAnsi="宋体" w:eastAsia="仿宋_GB2312"/>
                <w:szCs w:val="21"/>
              </w:rPr>
              <w:t>土木工程、给排水工程、工程力学、建筑环境与能源应用工程、道路桥梁与渡河工程、交通工程、机械制造及其自动化、电气工程及其自动化、工程管理、安全工程、消防工程、环境工程等相关专业</w:t>
            </w:r>
          </w:p>
        </w:tc>
      </w:tr>
      <w:tr>
        <w:tblPrEx>
          <w:tblCellMar>
            <w:top w:w="0" w:type="dxa"/>
            <w:left w:w="108" w:type="dxa"/>
            <w:bottom w:w="0" w:type="dxa"/>
            <w:right w:w="108" w:type="dxa"/>
          </w:tblCellMar>
        </w:tblPrEx>
        <w:trPr>
          <w:trHeight w:val="84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造价管理</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本科</w:t>
            </w:r>
          </w:p>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及以上</w:t>
            </w:r>
          </w:p>
        </w:tc>
        <w:tc>
          <w:tcPr>
            <w:tcW w:w="5910"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仿宋_GB2312" w:hAnsi="宋体" w:eastAsia="仿宋_GB2312"/>
                <w:szCs w:val="21"/>
              </w:rPr>
            </w:pPr>
            <w:r>
              <w:rPr>
                <w:rFonts w:hint="eastAsia" w:ascii="仿宋_GB2312" w:hAnsi="宋体" w:eastAsia="仿宋_GB2312"/>
                <w:szCs w:val="21"/>
              </w:rPr>
              <w:t>土木工程、机械制造及其自动化、电气工程及其自动化、建筑环境与能源应用工程、工程造价、工程管理等相关专业</w:t>
            </w:r>
          </w:p>
        </w:tc>
      </w:tr>
      <w:tr>
        <w:tblPrEx>
          <w:tblCellMar>
            <w:top w:w="0" w:type="dxa"/>
            <w:left w:w="108" w:type="dxa"/>
            <w:bottom w:w="0" w:type="dxa"/>
            <w:right w:w="108" w:type="dxa"/>
          </w:tblCellMar>
        </w:tblPrEx>
        <w:trPr>
          <w:trHeight w:val="844"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物资管理</w:t>
            </w:r>
          </w:p>
        </w:tc>
        <w:tc>
          <w:tcPr>
            <w:tcW w:w="11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本科</w:t>
            </w:r>
          </w:p>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及以上</w:t>
            </w:r>
          </w:p>
        </w:tc>
        <w:tc>
          <w:tcPr>
            <w:tcW w:w="5910" w:type="dxa"/>
            <w:tcBorders>
              <w:top w:val="nil"/>
              <w:left w:val="nil"/>
              <w:bottom w:val="single" w:color="auto" w:sz="4" w:space="0"/>
              <w:right w:val="single" w:color="auto" w:sz="4" w:space="0"/>
            </w:tcBorders>
            <w:shd w:val="clear" w:color="auto" w:fill="auto"/>
            <w:noWrap/>
            <w:vAlign w:val="center"/>
          </w:tcPr>
          <w:p>
            <w:pPr>
              <w:jc w:val="left"/>
              <w:rPr>
                <w:rFonts w:ascii="仿宋_GB2312" w:hAnsi="宋体" w:eastAsia="仿宋_GB2312"/>
                <w:szCs w:val="21"/>
              </w:rPr>
            </w:pPr>
            <w:r>
              <w:rPr>
                <w:rFonts w:hint="eastAsia" w:ascii="仿宋_GB2312" w:hAnsi="宋体" w:eastAsia="仿宋_GB2312"/>
                <w:szCs w:val="21"/>
              </w:rPr>
              <w:t>土木工程、金属材料、无机非金属材料、机械制造及其自动化、电气工程及其自动化等相关专业</w:t>
            </w:r>
          </w:p>
        </w:tc>
      </w:tr>
      <w:tr>
        <w:tblPrEx>
          <w:tblCellMar>
            <w:top w:w="0" w:type="dxa"/>
            <w:left w:w="108" w:type="dxa"/>
            <w:bottom w:w="0" w:type="dxa"/>
            <w:right w:w="108" w:type="dxa"/>
          </w:tblCellMar>
        </w:tblPrEx>
        <w:trPr>
          <w:trHeight w:val="701"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财务管理</w:t>
            </w:r>
          </w:p>
        </w:tc>
        <w:tc>
          <w:tcPr>
            <w:tcW w:w="11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本科一批及以上</w:t>
            </w:r>
          </w:p>
        </w:tc>
        <w:tc>
          <w:tcPr>
            <w:tcW w:w="5910" w:type="dxa"/>
            <w:tcBorders>
              <w:top w:val="nil"/>
              <w:left w:val="nil"/>
              <w:bottom w:val="single" w:color="auto" w:sz="4" w:space="0"/>
              <w:right w:val="single" w:color="auto" w:sz="4" w:space="0"/>
            </w:tcBorders>
            <w:shd w:val="clear" w:color="auto" w:fill="auto"/>
            <w:noWrap/>
            <w:vAlign w:val="center"/>
          </w:tcPr>
          <w:p>
            <w:pPr>
              <w:jc w:val="left"/>
              <w:rPr>
                <w:rFonts w:ascii="仿宋_GB2312" w:hAnsi="宋体" w:eastAsia="仿宋_GB2312"/>
                <w:szCs w:val="21"/>
              </w:rPr>
            </w:pPr>
            <w:r>
              <w:rPr>
                <w:rFonts w:hint="eastAsia" w:ascii="仿宋_GB2312" w:hAnsi="宋体" w:eastAsia="仿宋_GB2312"/>
                <w:szCs w:val="21"/>
              </w:rPr>
              <w:t>财务管理、金融学、会计学、投资学、税收学、审计学、经济学等相关专业</w:t>
            </w:r>
          </w:p>
        </w:tc>
      </w:tr>
      <w:tr>
        <w:tblPrEx>
          <w:tblCellMar>
            <w:top w:w="0" w:type="dxa"/>
            <w:left w:w="108" w:type="dxa"/>
            <w:bottom w:w="0" w:type="dxa"/>
            <w:right w:w="108" w:type="dxa"/>
          </w:tblCellMar>
        </w:tblPrEx>
        <w:trPr>
          <w:trHeight w:val="923" w:hRule="atLeast"/>
        </w:trPr>
        <w:tc>
          <w:tcPr>
            <w:tcW w:w="113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行政管理</w:t>
            </w:r>
          </w:p>
        </w:tc>
        <w:tc>
          <w:tcPr>
            <w:tcW w:w="11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本科一批</w:t>
            </w:r>
          </w:p>
          <w:p>
            <w:pPr>
              <w:widowControl/>
              <w:jc w:val="center"/>
              <w:rPr>
                <w:rFonts w:ascii="仿宋_GB2312" w:hAnsi="宋体" w:eastAsia="仿宋_GB2312" w:cs="宋体"/>
                <w:color w:val="000000"/>
                <w:kern w:val="0"/>
                <w:sz w:val="22"/>
                <w:szCs w:val="21"/>
              </w:rPr>
            </w:pPr>
            <w:r>
              <w:rPr>
                <w:rFonts w:hint="eastAsia" w:ascii="仿宋_GB2312" w:hAnsi="宋体" w:eastAsia="仿宋_GB2312" w:cs="宋体"/>
                <w:color w:val="000000"/>
                <w:kern w:val="0"/>
                <w:sz w:val="22"/>
                <w:szCs w:val="21"/>
              </w:rPr>
              <w:t>及以上</w:t>
            </w:r>
          </w:p>
        </w:tc>
        <w:tc>
          <w:tcPr>
            <w:tcW w:w="5910" w:type="dxa"/>
            <w:tcBorders>
              <w:top w:val="nil"/>
              <w:left w:val="nil"/>
              <w:bottom w:val="single" w:color="auto" w:sz="4" w:space="0"/>
              <w:right w:val="single" w:color="auto" w:sz="4" w:space="0"/>
            </w:tcBorders>
            <w:shd w:val="clear" w:color="auto" w:fill="auto"/>
            <w:noWrap/>
            <w:vAlign w:val="center"/>
          </w:tcPr>
          <w:p>
            <w:pPr>
              <w:jc w:val="left"/>
              <w:rPr>
                <w:rFonts w:ascii="仿宋_GB2312" w:hAnsi="宋体" w:eastAsia="仿宋_GB2312"/>
                <w:szCs w:val="21"/>
              </w:rPr>
            </w:pPr>
            <w:r>
              <w:rPr>
                <w:rFonts w:hint="eastAsia" w:ascii="仿宋_GB2312" w:hAnsi="宋体" w:eastAsia="仿宋_GB2312"/>
                <w:szCs w:val="21"/>
              </w:rPr>
              <w:t>行政管理、人力资源管理、劳动与社会保障、工商管理、公共关系学、汉语言文学、新闻学、法学等相关专业</w:t>
            </w:r>
          </w:p>
        </w:tc>
      </w:tr>
    </w:tbl>
    <w:p>
      <w:pPr>
        <w:spacing w:line="360" w:lineRule="auto"/>
        <w:ind w:firstLine="660"/>
        <w:rPr>
          <w:rFonts w:ascii="仿宋_GB2312" w:hAnsi="黑体" w:eastAsia="仿宋_GB2312" w:cs="Times New Roman"/>
          <w:color w:val="000000"/>
          <w:spacing w:val="-20"/>
          <w:sz w:val="32"/>
          <w:szCs w:val="32"/>
        </w:rPr>
      </w:pPr>
    </w:p>
    <w:p>
      <w:pPr>
        <w:spacing w:line="360" w:lineRule="auto"/>
        <w:ind w:firstLine="643" w:firstLineChars="200"/>
        <w:rPr>
          <w:rFonts w:ascii="黑体" w:hAnsi="黑体" w:eastAsia="黑体"/>
          <w:b/>
          <w:sz w:val="32"/>
          <w:szCs w:val="32"/>
        </w:rPr>
      </w:pPr>
      <w:r>
        <w:rPr>
          <w:rFonts w:hint="eastAsia" w:ascii="黑体" w:hAnsi="黑体" w:eastAsia="黑体"/>
          <w:b/>
          <w:sz w:val="32"/>
          <w:szCs w:val="32"/>
        </w:rPr>
        <w:t>三、发展平台及福利</w:t>
      </w:r>
    </w:p>
    <w:p>
      <w:pPr>
        <w:spacing w:line="360" w:lineRule="auto"/>
        <w:ind w:firstLine="643" w:firstLineChars="200"/>
        <w:rPr>
          <w:rFonts w:ascii="仿宋_GB2312" w:hAnsi="宋体" w:eastAsia="仿宋_GB2312" w:cs="Times New Roman"/>
          <w:color w:val="000000"/>
          <w:sz w:val="32"/>
          <w:szCs w:val="32"/>
        </w:rPr>
      </w:pPr>
      <w:r>
        <w:rPr>
          <w:rFonts w:hint="eastAsia" w:ascii="仿宋_GB2312" w:hAnsi="宋体" w:eastAsia="仿宋_GB2312" w:cs="Times New Roman"/>
          <w:b/>
          <w:color w:val="000000"/>
          <w:sz w:val="32"/>
          <w:szCs w:val="32"/>
        </w:rPr>
        <w:t>薪酬架构：</w:t>
      </w:r>
      <w:r>
        <w:rPr>
          <w:rFonts w:hint="eastAsia" w:ascii="仿宋_GB2312" w:hAnsi="宋体" w:eastAsia="仿宋_GB2312" w:cs="Times New Roman"/>
          <w:color w:val="000000"/>
          <w:sz w:val="32"/>
          <w:szCs w:val="32"/>
        </w:rPr>
        <w:t>岗位工资、绩效工资（月度绩效、季度绩效、年度绩效、年薪兑现、项目竣工兑现、专项奖等）、各项津补贴（年功津贴、资质津贴、伙食补贴、区域租房补贴、防暑降温费、取暖补贴、电脑补贴、长期出差补贴、通讯费补贴、交通补贴、工装洗理费等）</w:t>
      </w:r>
    </w:p>
    <w:p>
      <w:pPr>
        <w:spacing w:line="360" w:lineRule="auto"/>
        <w:ind w:firstLine="643" w:firstLineChars="200"/>
        <w:rPr>
          <w:rFonts w:ascii="仿宋_GB2312" w:hAnsi="宋体" w:eastAsia="仿宋_GB2312" w:cs="Times New Roman"/>
          <w:color w:val="000000"/>
          <w:sz w:val="32"/>
          <w:szCs w:val="32"/>
        </w:rPr>
      </w:pPr>
      <w:r>
        <w:rPr>
          <w:rFonts w:hint="eastAsia" w:ascii="仿宋_GB2312" w:hAnsi="宋体" w:eastAsia="仿宋_GB2312" w:cs="Times New Roman"/>
          <w:b/>
          <w:color w:val="000000"/>
          <w:sz w:val="32"/>
          <w:szCs w:val="32"/>
        </w:rPr>
        <w:t>福利保障：</w:t>
      </w:r>
      <w:r>
        <w:rPr>
          <w:rFonts w:hint="eastAsia" w:ascii="仿宋_GB2312" w:hAnsi="宋体" w:eastAsia="仿宋_GB2312" w:cs="Times New Roman"/>
          <w:color w:val="000000"/>
          <w:sz w:val="32"/>
          <w:szCs w:val="32"/>
        </w:rPr>
        <w:t>安家费、大学生公寓、定期体检、购房优惠、拓展培训、带薪休假、反探亲假</w:t>
      </w:r>
    </w:p>
    <w:p>
      <w:pPr>
        <w:spacing w:line="360" w:lineRule="auto"/>
        <w:ind w:firstLine="643" w:firstLineChars="200"/>
        <w:rPr>
          <w:rFonts w:ascii="仿宋_GB2312" w:hAnsi="宋体" w:eastAsia="仿宋_GB2312" w:cs="Times New Roman"/>
          <w:color w:val="000000"/>
          <w:sz w:val="32"/>
          <w:szCs w:val="32"/>
        </w:rPr>
      </w:pPr>
      <w:r>
        <w:rPr>
          <w:rFonts w:hint="eastAsia" w:ascii="仿宋_GB2312" w:hAnsi="宋体" w:eastAsia="仿宋_GB2312" w:cs="Times New Roman"/>
          <w:b/>
          <w:color w:val="000000"/>
          <w:sz w:val="32"/>
          <w:szCs w:val="32"/>
        </w:rPr>
        <w:t>职业培训：</w:t>
      </w:r>
      <w:r>
        <w:rPr>
          <w:rFonts w:hint="eastAsia" w:ascii="仿宋_GB2312" w:hAnsi="宋体" w:eastAsia="仿宋_GB2312" w:cs="Times New Roman"/>
          <w:color w:val="000000"/>
          <w:sz w:val="32"/>
          <w:szCs w:val="32"/>
        </w:rPr>
        <w:t>入职培训、师带徒培养、岗位技能培训、能力提升培训、专业技术培训</w:t>
      </w:r>
    </w:p>
    <w:p>
      <w:pPr>
        <w:spacing w:line="360" w:lineRule="auto"/>
        <w:ind w:firstLine="643" w:firstLineChars="200"/>
        <w:rPr>
          <w:rFonts w:ascii="仿宋_GB2312" w:hAnsi="宋体" w:eastAsia="仿宋_GB2312" w:cs="Times New Roman"/>
          <w:color w:val="000000"/>
          <w:sz w:val="32"/>
          <w:szCs w:val="32"/>
        </w:rPr>
      </w:pPr>
      <w:r>
        <w:rPr>
          <w:rFonts w:hint="eastAsia" w:ascii="仿宋_GB2312" w:hAnsi="宋体" w:eastAsia="仿宋_GB2312" w:cs="Times New Roman"/>
          <w:b/>
          <w:color w:val="000000"/>
          <w:sz w:val="32"/>
          <w:szCs w:val="32"/>
        </w:rPr>
        <w:t>晋升通道：</w:t>
      </w:r>
      <w:r>
        <w:rPr>
          <w:rFonts w:hint="eastAsia" w:ascii="仿宋_GB2312" w:hAnsi="宋体" w:eastAsia="仿宋_GB2312" w:cs="Times New Roman"/>
          <w:color w:val="000000"/>
          <w:sz w:val="32"/>
          <w:szCs w:val="32"/>
        </w:rPr>
        <w:t>“13745”人才规划、行政职务晋升通道、专业技术职务晋升通道、后备干部培养通道、职业专家培养通道</w:t>
      </w:r>
    </w:p>
    <w:p>
      <w:pPr>
        <w:spacing w:line="360" w:lineRule="auto"/>
        <w:ind w:firstLine="643" w:firstLineChars="200"/>
        <w:rPr>
          <w:rFonts w:ascii="仿宋_GB2312" w:hAnsi="宋体" w:eastAsia="仿宋_GB2312" w:cs="Times New Roman"/>
          <w:color w:val="000000"/>
          <w:sz w:val="32"/>
          <w:szCs w:val="32"/>
        </w:rPr>
      </w:pPr>
      <w:r>
        <w:rPr>
          <w:rFonts w:hint="eastAsia" w:ascii="仿宋_GB2312" w:hAnsi="宋体" w:eastAsia="仿宋_GB2312" w:cs="Times New Roman"/>
          <w:b/>
          <w:color w:val="000000"/>
          <w:sz w:val="32"/>
          <w:szCs w:val="32"/>
        </w:rPr>
        <w:t>发展平台：</w:t>
      </w:r>
      <w:r>
        <w:rPr>
          <w:rFonts w:ascii="仿宋_GB2312" w:hAnsi="宋体" w:eastAsia="仿宋_GB2312" w:cs="Times New Roman"/>
          <w:color w:val="000000"/>
          <w:sz w:val="32"/>
          <w:szCs w:val="32"/>
        </w:rPr>
        <w:t>32个分子公司事业部、1</w:t>
      </w:r>
      <w:r>
        <w:rPr>
          <w:rFonts w:hint="eastAsia" w:ascii="仿宋_GB2312" w:hAnsi="宋体" w:eastAsia="仿宋_GB2312" w:cs="Times New Roman"/>
          <w:color w:val="000000"/>
          <w:sz w:val="32"/>
          <w:szCs w:val="32"/>
        </w:rPr>
        <w:t>5</w:t>
      </w:r>
      <w:r>
        <w:rPr>
          <w:rFonts w:ascii="仿宋_GB2312" w:hAnsi="宋体" w:eastAsia="仿宋_GB2312" w:cs="Times New Roman"/>
          <w:color w:val="000000"/>
          <w:sz w:val="32"/>
          <w:szCs w:val="32"/>
        </w:rPr>
        <w:t>个直管项目部遍布祖国五湖四海</w:t>
      </w:r>
    </w:p>
    <w:p>
      <w:pPr>
        <w:spacing w:line="360" w:lineRule="auto"/>
        <w:ind w:firstLine="643" w:firstLineChars="200"/>
        <w:rPr>
          <w:rFonts w:ascii="黑体" w:hAnsi="黑体" w:eastAsia="黑体"/>
          <w:b/>
          <w:sz w:val="32"/>
          <w:szCs w:val="32"/>
        </w:rPr>
      </w:pPr>
      <w:r>
        <w:rPr>
          <w:rFonts w:hint="eastAsia" w:ascii="黑体" w:hAnsi="黑体" w:eastAsia="黑体"/>
          <w:b/>
          <w:sz w:val="32"/>
          <w:szCs w:val="32"/>
        </w:rPr>
        <w:t>四、应聘方式</w:t>
      </w:r>
    </w:p>
    <w:p>
      <w:pPr>
        <w:spacing w:line="360" w:lineRule="auto"/>
        <w:ind w:firstLine="710" w:firstLineChars="221"/>
        <w:rPr>
          <w:rFonts w:ascii="楷体" w:hAnsi="楷体" w:eastAsia="楷体"/>
          <w:b/>
          <w:sz w:val="32"/>
          <w:szCs w:val="32"/>
        </w:rPr>
      </w:pPr>
      <w:r>
        <w:rPr>
          <w:rFonts w:ascii="楷体" w:hAnsi="楷体" w:eastAsia="楷体"/>
          <w:b/>
          <w:sz w:val="32"/>
          <w:szCs w:val="32"/>
        </w:rPr>
        <w:drawing>
          <wp:anchor distT="0" distB="0" distL="114300" distR="114300" simplePos="0" relativeHeight="251660288" behindDoc="1" locked="0" layoutInCell="1" allowOverlap="1">
            <wp:simplePos x="0" y="0"/>
            <wp:positionH relativeFrom="column">
              <wp:posOffset>3888105</wp:posOffset>
            </wp:positionH>
            <wp:positionV relativeFrom="paragraph">
              <wp:posOffset>382270</wp:posOffset>
            </wp:positionV>
            <wp:extent cx="1493520" cy="1762125"/>
            <wp:effectExtent l="0" t="0" r="0" b="9525"/>
            <wp:wrapTight wrapText="bothSides">
              <wp:wrapPolygon>
                <wp:start x="0" y="0"/>
                <wp:lineTo x="0" y="21483"/>
                <wp:lineTo x="21214" y="21483"/>
                <wp:lineTo x="21214" y="0"/>
                <wp:lineTo x="0" y="0"/>
              </wp:wrapPolygon>
            </wp:wrapTight>
            <wp:docPr id="1" name="图片 1" descr="C:\Users\Administrator\Desktop\QQ截图20210908104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截图2021090810410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93520" cy="1762125"/>
                    </a:xfrm>
                    <a:prstGeom prst="rect">
                      <a:avLst/>
                    </a:prstGeom>
                    <a:noFill/>
                    <a:ln>
                      <a:noFill/>
                    </a:ln>
                  </pic:spPr>
                </pic:pic>
              </a:graphicData>
            </a:graphic>
          </wp:anchor>
        </w:drawing>
      </w:r>
      <w:r>
        <w:rPr>
          <w:rFonts w:hint="eastAsia" w:ascii="楷体" w:hAnsi="楷体" w:eastAsia="楷体"/>
          <w:b/>
          <w:sz w:val="32"/>
          <w:szCs w:val="32"/>
        </w:rPr>
        <w:t>（一）线上方式</w:t>
      </w:r>
    </w:p>
    <w:p>
      <w:pPr>
        <w:spacing w:line="360" w:lineRule="auto"/>
        <w:ind w:firstLine="640"/>
        <w:rPr>
          <w:rFonts w:ascii="仿宋_GB2312" w:hAnsi="黑体" w:eastAsia="仿宋_GB2312"/>
          <w:sz w:val="32"/>
          <w:szCs w:val="32"/>
        </w:rPr>
      </w:pPr>
      <w:r>
        <w:rPr>
          <w:rFonts w:hint="eastAsia" w:ascii="仿宋_GB2312" w:hAnsi="黑体" w:eastAsia="仿宋_GB2312"/>
          <w:sz w:val="32"/>
          <w:szCs w:val="32"/>
        </w:rPr>
        <w:t>登入中国二十二冶官方网站校园招聘页申请或扫描二维码报名；</w:t>
      </w:r>
    </w:p>
    <w:p>
      <w:pPr>
        <w:spacing w:line="360" w:lineRule="auto"/>
        <w:ind w:firstLine="640"/>
        <w:rPr>
          <w:rFonts w:ascii="仿宋_GB2312" w:hAnsi="黑体" w:eastAsia="仿宋_GB2312"/>
          <w:sz w:val="32"/>
          <w:szCs w:val="32"/>
        </w:rPr>
      </w:pPr>
      <w:r>
        <w:rPr>
          <w:rFonts w:hint="eastAsia" w:ascii="仿宋_GB2312" w:hAnsi="黑体" w:eastAsia="仿宋_GB2312"/>
          <w:sz w:val="32"/>
          <w:szCs w:val="32"/>
        </w:rPr>
        <w:t>亦可将简历及证明材料发送至邮箱：</w:t>
      </w:r>
    </w:p>
    <w:p>
      <w:pPr>
        <w:spacing w:line="360" w:lineRule="auto"/>
        <w:rPr>
          <w:rFonts w:ascii="仿宋_GB2312" w:hAnsi="黑体" w:eastAsia="仿宋_GB2312"/>
          <w:sz w:val="32"/>
          <w:szCs w:val="32"/>
        </w:rPr>
      </w:pPr>
      <w:r>
        <w:rPr>
          <w:rFonts w:hint="eastAsia" w:ascii="仿宋_GB2312" w:hAnsi="黑体" w:eastAsia="仿宋_GB2312"/>
          <w:sz w:val="32"/>
          <w:szCs w:val="32"/>
          <w:lang w:val="en-US" w:eastAsia="zh-CN"/>
        </w:rPr>
        <w:t>tj22mcchr</w:t>
      </w:r>
      <w:r>
        <w:rPr>
          <w:rFonts w:hint="eastAsia" w:ascii="仿宋_GB2312" w:hAnsi="黑体" w:eastAsia="仿宋_GB2312"/>
          <w:sz w:val="32"/>
          <w:szCs w:val="32"/>
        </w:rPr>
        <w:t>.com。邮件请按照格式命名：</w:t>
      </w:r>
      <w:r>
        <w:rPr>
          <w:rFonts w:ascii="仿宋_GB2312" w:hAnsi="黑体" w:eastAsia="仿宋_GB2312"/>
          <w:sz w:val="32"/>
          <w:szCs w:val="32"/>
        </w:rPr>
        <w:t>学历-院校-专业-</w:t>
      </w:r>
      <w:r>
        <w:rPr>
          <w:rFonts w:hint="eastAsia" w:ascii="仿宋_GB2312" w:hAnsi="黑体" w:eastAsia="仿宋_GB2312"/>
          <w:sz w:val="32"/>
          <w:szCs w:val="32"/>
        </w:rPr>
        <w:t>姓名</w:t>
      </w:r>
      <w:r>
        <w:rPr>
          <w:rFonts w:ascii="仿宋_GB2312" w:hAnsi="黑体" w:eastAsia="仿宋_GB2312"/>
          <w:sz w:val="32"/>
          <w:szCs w:val="32"/>
        </w:rPr>
        <w:t xml:space="preserve">-性别。 </w:t>
      </w:r>
    </w:p>
    <w:p>
      <w:pPr>
        <w:spacing w:line="360" w:lineRule="auto"/>
        <w:ind w:firstLine="710" w:firstLineChars="221"/>
        <w:rPr>
          <w:rFonts w:ascii="楷体" w:hAnsi="楷体" w:eastAsia="楷体"/>
          <w:b/>
          <w:sz w:val="32"/>
          <w:szCs w:val="32"/>
        </w:rPr>
      </w:pPr>
      <w:r>
        <w:rPr>
          <w:rFonts w:hint="eastAsia" w:ascii="楷体" w:hAnsi="楷体" w:eastAsia="楷体"/>
          <w:b/>
          <w:sz w:val="32"/>
          <w:szCs w:val="32"/>
        </w:rPr>
        <w:t>（二）线下方式</w:t>
      </w:r>
    </w:p>
    <w:p>
      <w:pPr>
        <w:spacing w:line="360" w:lineRule="auto"/>
        <w:ind w:firstLine="707" w:firstLineChars="221"/>
        <w:rPr>
          <w:rFonts w:ascii="仿宋_GB2312" w:hAnsi="黑体" w:eastAsia="仿宋_GB2312"/>
          <w:sz w:val="32"/>
          <w:szCs w:val="32"/>
        </w:rPr>
      </w:pPr>
      <w:r>
        <w:rPr>
          <w:rFonts w:hint="eastAsia" w:ascii="仿宋_GB2312" w:hAnsi="黑体" w:eastAsia="仿宋_GB2312"/>
          <w:sz w:val="32"/>
          <w:szCs w:val="32"/>
        </w:rPr>
        <w:t>校园双选会、校园宣讲会。</w:t>
      </w:r>
    </w:p>
    <w:p>
      <w:pPr>
        <w:tabs>
          <w:tab w:val="left" w:pos="6792"/>
        </w:tabs>
        <w:spacing w:line="360" w:lineRule="auto"/>
        <w:ind w:firstLine="643" w:firstLineChars="200"/>
        <w:rPr>
          <w:rFonts w:ascii="黑体" w:hAnsi="黑体" w:eastAsia="黑体"/>
          <w:b/>
          <w:sz w:val="32"/>
          <w:szCs w:val="32"/>
        </w:rPr>
      </w:pPr>
      <w:r>
        <w:rPr>
          <w:rFonts w:hint="eastAsia" w:ascii="黑体" w:hAnsi="黑体" w:eastAsia="黑体"/>
          <w:b/>
          <w:sz w:val="32"/>
          <w:szCs w:val="32"/>
        </w:rPr>
        <w:t>五、联系方式</w:t>
      </w:r>
      <w:r>
        <w:rPr>
          <w:rFonts w:hint="eastAsia" w:ascii="黑体" w:hAnsi="黑体" w:eastAsia="黑体"/>
          <w:b/>
          <w:sz w:val="32"/>
          <w:szCs w:val="32"/>
        </w:rPr>
        <w:tab/>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drawing>
          <wp:anchor distT="0" distB="0" distL="114300" distR="114300" simplePos="0" relativeHeight="251659264" behindDoc="0" locked="0" layoutInCell="1" allowOverlap="1">
            <wp:simplePos x="0" y="0"/>
            <wp:positionH relativeFrom="column">
              <wp:posOffset>4516755</wp:posOffset>
            </wp:positionH>
            <wp:positionV relativeFrom="paragraph">
              <wp:posOffset>306705</wp:posOffset>
            </wp:positionV>
            <wp:extent cx="1276350" cy="1171575"/>
            <wp:effectExtent l="0" t="0" r="0" b="9525"/>
            <wp:wrapSquare wrapText="bothSides"/>
            <wp:docPr id="16" name="图片 2" descr="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二维码.jp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6350" cy="1171575"/>
                    </a:xfrm>
                    <a:prstGeom prst="rect">
                      <a:avLst/>
                    </a:prstGeom>
                  </pic:spPr>
                </pic:pic>
              </a:graphicData>
            </a:graphic>
          </wp:anchor>
        </w:drawing>
      </w:r>
      <w:r>
        <w:rPr>
          <w:rFonts w:hint="eastAsia" w:ascii="仿宋_GB2312" w:hAnsi="宋体" w:eastAsia="仿宋_GB2312"/>
          <w:sz w:val="32"/>
          <w:szCs w:val="32"/>
          <w:lang w:val="en-US" w:eastAsia="zh-CN"/>
        </w:rPr>
        <w:t>集团</w:t>
      </w:r>
      <w:r>
        <w:rPr>
          <w:rFonts w:hint="eastAsia" w:ascii="仿宋_GB2312" w:hAnsi="宋体" w:eastAsia="仿宋_GB2312"/>
          <w:sz w:val="32"/>
          <w:szCs w:val="32"/>
        </w:rPr>
        <w:t>公司地址：</w:t>
      </w:r>
      <w:r>
        <w:rPr>
          <w:rFonts w:hint="eastAsia" w:ascii="仿宋_GB2312" w:eastAsia="仿宋_GB2312" w:cs="Times New Roman"/>
          <w:color w:val="000000"/>
          <w:sz w:val="32"/>
          <w:szCs w:val="32"/>
        </w:rPr>
        <w:t>河北省唐山市丰润区幸福道16号</w:t>
      </w:r>
      <w:bookmarkStart w:id="0" w:name="_GoBack"/>
      <w:bookmarkEnd w:id="0"/>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公司网址：</w:t>
      </w:r>
      <w:r>
        <w:rPr>
          <w:rFonts w:ascii="仿宋_GB2312" w:hAnsi="宋体" w:eastAsia="仿宋_GB2312"/>
          <w:sz w:val="32"/>
          <w:szCs w:val="32"/>
        </w:rPr>
        <w:t>http://www.22mcc.com.cn/</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联 系 人：</w:t>
      </w:r>
      <w:r>
        <w:rPr>
          <w:rFonts w:hint="eastAsia" w:ascii="仿宋_GB2312" w:hAnsi="宋体" w:eastAsia="仿宋_GB2312"/>
          <w:sz w:val="32"/>
          <w:szCs w:val="32"/>
          <w:lang w:val="en-US" w:eastAsia="zh-CN"/>
        </w:rPr>
        <w:t>高女士</w:t>
      </w:r>
    </w:p>
    <w:p>
      <w:pPr>
        <w:spacing w:line="360" w:lineRule="auto"/>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联系电话：</w:t>
      </w:r>
      <w:r>
        <w:rPr>
          <w:rFonts w:hint="eastAsia" w:ascii="仿宋_GB2312" w:hAnsi="宋体" w:eastAsia="仿宋_GB2312"/>
          <w:sz w:val="32"/>
          <w:szCs w:val="32"/>
          <w:lang w:val="en-US" w:eastAsia="zh-CN"/>
        </w:rPr>
        <w:t>18510263536</w:t>
      </w:r>
    </w:p>
    <w:sectPr>
      <w:pgSz w:w="11906" w:h="16838"/>
      <w:pgMar w:top="1134"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49"/>
    <w:rsid w:val="00002D02"/>
    <w:rsid w:val="0003545E"/>
    <w:rsid w:val="00036445"/>
    <w:rsid w:val="000506C1"/>
    <w:rsid w:val="0006044E"/>
    <w:rsid w:val="00076B16"/>
    <w:rsid w:val="00086053"/>
    <w:rsid w:val="000A6CFF"/>
    <w:rsid w:val="000C5BB0"/>
    <w:rsid w:val="000C74DF"/>
    <w:rsid w:val="000D7F9D"/>
    <w:rsid w:val="000F028C"/>
    <w:rsid w:val="00102E23"/>
    <w:rsid w:val="00104C0F"/>
    <w:rsid w:val="00125BB8"/>
    <w:rsid w:val="00131E88"/>
    <w:rsid w:val="00137B7B"/>
    <w:rsid w:val="001726F6"/>
    <w:rsid w:val="001812D9"/>
    <w:rsid w:val="00183FC4"/>
    <w:rsid w:val="00195813"/>
    <w:rsid w:val="001B542F"/>
    <w:rsid w:val="001C19EF"/>
    <w:rsid w:val="001F14B6"/>
    <w:rsid w:val="001F4C75"/>
    <w:rsid w:val="00205635"/>
    <w:rsid w:val="00216C20"/>
    <w:rsid w:val="00217083"/>
    <w:rsid w:val="002262E6"/>
    <w:rsid w:val="00232C4A"/>
    <w:rsid w:val="0023394E"/>
    <w:rsid w:val="0024298C"/>
    <w:rsid w:val="002506C9"/>
    <w:rsid w:val="00252B71"/>
    <w:rsid w:val="00260E6A"/>
    <w:rsid w:val="00272E7D"/>
    <w:rsid w:val="002A5B5A"/>
    <w:rsid w:val="002B5CA2"/>
    <w:rsid w:val="002D7E61"/>
    <w:rsid w:val="002F2D93"/>
    <w:rsid w:val="00312157"/>
    <w:rsid w:val="00327988"/>
    <w:rsid w:val="00330282"/>
    <w:rsid w:val="003335B1"/>
    <w:rsid w:val="00347E36"/>
    <w:rsid w:val="0036429A"/>
    <w:rsid w:val="0036729E"/>
    <w:rsid w:val="00383746"/>
    <w:rsid w:val="003A5A11"/>
    <w:rsid w:val="003B1D0F"/>
    <w:rsid w:val="003B5AAE"/>
    <w:rsid w:val="003C332F"/>
    <w:rsid w:val="004107A3"/>
    <w:rsid w:val="0041345A"/>
    <w:rsid w:val="00417937"/>
    <w:rsid w:val="00436860"/>
    <w:rsid w:val="00444F85"/>
    <w:rsid w:val="0044724F"/>
    <w:rsid w:val="00465343"/>
    <w:rsid w:val="00467958"/>
    <w:rsid w:val="00485C7F"/>
    <w:rsid w:val="00491456"/>
    <w:rsid w:val="00493761"/>
    <w:rsid w:val="00496AA1"/>
    <w:rsid w:val="004A07F4"/>
    <w:rsid w:val="004A5FD7"/>
    <w:rsid w:val="004A6940"/>
    <w:rsid w:val="004A78C6"/>
    <w:rsid w:val="004B54DA"/>
    <w:rsid w:val="004C3179"/>
    <w:rsid w:val="004C788A"/>
    <w:rsid w:val="004E07A9"/>
    <w:rsid w:val="004E42D5"/>
    <w:rsid w:val="00501E16"/>
    <w:rsid w:val="00505499"/>
    <w:rsid w:val="005057EE"/>
    <w:rsid w:val="00512FE2"/>
    <w:rsid w:val="00516D2F"/>
    <w:rsid w:val="005322A8"/>
    <w:rsid w:val="0053309E"/>
    <w:rsid w:val="00534DC7"/>
    <w:rsid w:val="00545636"/>
    <w:rsid w:val="00547C88"/>
    <w:rsid w:val="00561918"/>
    <w:rsid w:val="00567C43"/>
    <w:rsid w:val="00574577"/>
    <w:rsid w:val="005802A8"/>
    <w:rsid w:val="00583374"/>
    <w:rsid w:val="00585783"/>
    <w:rsid w:val="005954E6"/>
    <w:rsid w:val="00597293"/>
    <w:rsid w:val="005A024B"/>
    <w:rsid w:val="005A58DD"/>
    <w:rsid w:val="005B2947"/>
    <w:rsid w:val="005B5F89"/>
    <w:rsid w:val="005C678D"/>
    <w:rsid w:val="005C6F1D"/>
    <w:rsid w:val="005D1D56"/>
    <w:rsid w:val="005D2DE6"/>
    <w:rsid w:val="005E5FD1"/>
    <w:rsid w:val="00600C53"/>
    <w:rsid w:val="00610112"/>
    <w:rsid w:val="00660AF1"/>
    <w:rsid w:val="006756AF"/>
    <w:rsid w:val="0068788C"/>
    <w:rsid w:val="00696B65"/>
    <w:rsid w:val="006A6221"/>
    <w:rsid w:val="006A64BD"/>
    <w:rsid w:val="006B062A"/>
    <w:rsid w:val="006C2DF3"/>
    <w:rsid w:val="006D1854"/>
    <w:rsid w:val="006D1B11"/>
    <w:rsid w:val="006D22DF"/>
    <w:rsid w:val="006D771E"/>
    <w:rsid w:val="006E1BD3"/>
    <w:rsid w:val="006E6149"/>
    <w:rsid w:val="006F40BB"/>
    <w:rsid w:val="006F4A74"/>
    <w:rsid w:val="006F6ECB"/>
    <w:rsid w:val="00700DC7"/>
    <w:rsid w:val="00713B9C"/>
    <w:rsid w:val="007247CB"/>
    <w:rsid w:val="00724FD9"/>
    <w:rsid w:val="00737566"/>
    <w:rsid w:val="0074759A"/>
    <w:rsid w:val="007572EA"/>
    <w:rsid w:val="00761599"/>
    <w:rsid w:val="00761ABC"/>
    <w:rsid w:val="007639A0"/>
    <w:rsid w:val="007850F2"/>
    <w:rsid w:val="007927BE"/>
    <w:rsid w:val="007A46D0"/>
    <w:rsid w:val="007A551E"/>
    <w:rsid w:val="008008AA"/>
    <w:rsid w:val="00801C31"/>
    <w:rsid w:val="0080508E"/>
    <w:rsid w:val="00826BBA"/>
    <w:rsid w:val="008432D9"/>
    <w:rsid w:val="008460A9"/>
    <w:rsid w:val="00866556"/>
    <w:rsid w:val="00885AB7"/>
    <w:rsid w:val="00886730"/>
    <w:rsid w:val="00897609"/>
    <w:rsid w:val="008A478A"/>
    <w:rsid w:val="008A505C"/>
    <w:rsid w:val="008B34A1"/>
    <w:rsid w:val="008B34B6"/>
    <w:rsid w:val="008B3684"/>
    <w:rsid w:val="008C0A8D"/>
    <w:rsid w:val="008C6AEE"/>
    <w:rsid w:val="008D0407"/>
    <w:rsid w:val="008D5E49"/>
    <w:rsid w:val="008F4694"/>
    <w:rsid w:val="009003CB"/>
    <w:rsid w:val="009074A2"/>
    <w:rsid w:val="00912A1B"/>
    <w:rsid w:val="00962BF6"/>
    <w:rsid w:val="009874D5"/>
    <w:rsid w:val="009B0E40"/>
    <w:rsid w:val="009B351C"/>
    <w:rsid w:val="009B492B"/>
    <w:rsid w:val="009B550E"/>
    <w:rsid w:val="009D0A08"/>
    <w:rsid w:val="009D5CDA"/>
    <w:rsid w:val="009E4693"/>
    <w:rsid w:val="009F64FE"/>
    <w:rsid w:val="00A11FBF"/>
    <w:rsid w:val="00A13ADD"/>
    <w:rsid w:val="00A316A0"/>
    <w:rsid w:val="00A33F0C"/>
    <w:rsid w:val="00A37388"/>
    <w:rsid w:val="00A379C9"/>
    <w:rsid w:val="00A47CD8"/>
    <w:rsid w:val="00A57EE0"/>
    <w:rsid w:val="00A60FE3"/>
    <w:rsid w:val="00A723AF"/>
    <w:rsid w:val="00A73FF9"/>
    <w:rsid w:val="00A80FF3"/>
    <w:rsid w:val="00A81A7E"/>
    <w:rsid w:val="00A864EF"/>
    <w:rsid w:val="00AC7F9C"/>
    <w:rsid w:val="00AD5BE4"/>
    <w:rsid w:val="00AD7206"/>
    <w:rsid w:val="00AE2C35"/>
    <w:rsid w:val="00AE3419"/>
    <w:rsid w:val="00AE5A2B"/>
    <w:rsid w:val="00AF6DFD"/>
    <w:rsid w:val="00B00125"/>
    <w:rsid w:val="00B006AC"/>
    <w:rsid w:val="00B21393"/>
    <w:rsid w:val="00B247C2"/>
    <w:rsid w:val="00B31E4E"/>
    <w:rsid w:val="00B50283"/>
    <w:rsid w:val="00B514C8"/>
    <w:rsid w:val="00B604DA"/>
    <w:rsid w:val="00B66836"/>
    <w:rsid w:val="00B75C12"/>
    <w:rsid w:val="00B86000"/>
    <w:rsid w:val="00BA324B"/>
    <w:rsid w:val="00BB27D7"/>
    <w:rsid w:val="00BB7B6C"/>
    <w:rsid w:val="00BE256A"/>
    <w:rsid w:val="00BE4892"/>
    <w:rsid w:val="00C157C2"/>
    <w:rsid w:val="00C46ADC"/>
    <w:rsid w:val="00C50251"/>
    <w:rsid w:val="00C51D4C"/>
    <w:rsid w:val="00C54C50"/>
    <w:rsid w:val="00C6203F"/>
    <w:rsid w:val="00C6503E"/>
    <w:rsid w:val="00C83316"/>
    <w:rsid w:val="00C84A8D"/>
    <w:rsid w:val="00C97055"/>
    <w:rsid w:val="00CC562E"/>
    <w:rsid w:val="00CC6727"/>
    <w:rsid w:val="00CC6A83"/>
    <w:rsid w:val="00CC6B89"/>
    <w:rsid w:val="00CD1B99"/>
    <w:rsid w:val="00CD5E56"/>
    <w:rsid w:val="00D10D94"/>
    <w:rsid w:val="00D11AB5"/>
    <w:rsid w:val="00D166D1"/>
    <w:rsid w:val="00D5198E"/>
    <w:rsid w:val="00D52C36"/>
    <w:rsid w:val="00D5651E"/>
    <w:rsid w:val="00D61E17"/>
    <w:rsid w:val="00D66299"/>
    <w:rsid w:val="00D662C6"/>
    <w:rsid w:val="00D70C58"/>
    <w:rsid w:val="00D73F58"/>
    <w:rsid w:val="00D82024"/>
    <w:rsid w:val="00D9324A"/>
    <w:rsid w:val="00DA230B"/>
    <w:rsid w:val="00DA5C8D"/>
    <w:rsid w:val="00DA7BBB"/>
    <w:rsid w:val="00DB0B93"/>
    <w:rsid w:val="00DB0BC5"/>
    <w:rsid w:val="00E04EFC"/>
    <w:rsid w:val="00E0634F"/>
    <w:rsid w:val="00E15E04"/>
    <w:rsid w:val="00E53849"/>
    <w:rsid w:val="00E57391"/>
    <w:rsid w:val="00E63387"/>
    <w:rsid w:val="00E63C34"/>
    <w:rsid w:val="00E65E49"/>
    <w:rsid w:val="00E746CE"/>
    <w:rsid w:val="00E74922"/>
    <w:rsid w:val="00EA295F"/>
    <w:rsid w:val="00EC1EB4"/>
    <w:rsid w:val="00EC2008"/>
    <w:rsid w:val="00EF1EFC"/>
    <w:rsid w:val="00F068BA"/>
    <w:rsid w:val="00F22FE8"/>
    <w:rsid w:val="00F52654"/>
    <w:rsid w:val="00F55A7B"/>
    <w:rsid w:val="00F76FC7"/>
    <w:rsid w:val="00F84AE3"/>
    <w:rsid w:val="00F86752"/>
    <w:rsid w:val="00F87D25"/>
    <w:rsid w:val="00F90C05"/>
    <w:rsid w:val="00F910F5"/>
    <w:rsid w:val="00FA08A2"/>
    <w:rsid w:val="00FC27C6"/>
    <w:rsid w:val="00FE43F1"/>
    <w:rsid w:val="7BA72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75" w:after="75"/>
      <w:jc w:val="left"/>
    </w:pPr>
    <w:rPr>
      <w:rFonts w:ascii="宋体" w:hAnsi="宋体" w:cs="宋体"/>
      <w:kern w:val="0"/>
      <w:sz w:val="24"/>
      <w:szCs w:val="24"/>
    </w:rPr>
  </w:style>
  <w:style w:type="character" w:styleId="8">
    <w:name w:val="Hyperlink"/>
    <w:basedOn w:val="7"/>
    <w:unhideWhenUsed/>
    <w:uiPriority w:val="99"/>
    <w:rPr>
      <w:color w:val="0000FF"/>
      <w:u w:val="single"/>
    </w:rPr>
  </w:style>
  <w:style w:type="character" w:customStyle="1" w:styleId="9">
    <w:name w:val="apple-converted-space"/>
    <w:basedOn w:val="7"/>
    <w:uiPriority w:val="0"/>
  </w:style>
  <w:style w:type="character" w:customStyle="1" w:styleId="10">
    <w:name w:val="页眉 Char"/>
    <w:basedOn w:val="7"/>
    <w:link w:val="4"/>
    <w:uiPriority w:val="99"/>
    <w:rPr>
      <w:rFonts w:eastAsia="宋体"/>
      <w:sz w:val="18"/>
      <w:szCs w:val="18"/>
    </w:rPr>
  </w:style>
  <w:style w:type="character" w:customStyle="1" w:styleId="11">
    <w:name w:val="页脚 Char"/>
    <w:basedOn w:val="7"/>
    <w:link w:val="3"/>
    <w:uiPriority w:val="99"/>
    <w:rPr>
      <w:rFonts w:eastAsia="宋体"/>
      <w:sz w:val="18"/>
      <w:szCs w:val="18"/>
    </w:rPr>
  </w:style>
  <w:style w:type="character" w:customStyle="1" w:styleId="12">
    <w:name w:val="批注框文本 Char"/>
    <w:basedOn w:val="7"/>
    <w:link w:val="2"/>
    <w:semiHidden/>
    <w:uiPriority w:val="99"/>
    <w:rPr>
      <w:rFonts w:eastAsia="宋体"/>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D1456F-A6AC-4E7E-956B-0CD02DCB04CD}">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249</Words>
  <Characters>1424</Characters>
  <Lines>11</Lines>
  <Paragraphs>3</Paragraphs>
  <TotalTime>689</TotalTime>
  <ScaleCrop>false</ScaleCrop>
  <LinksUpToDate>false</LinksUpToDate>
  <CharactersWithSpaces>1670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2021-03-10T11:43:00Z</dcterms:created>
  <dc:creator>wang1992</dc:creator>
  <cp:lastModifiedBy>%E9%AB%98%E6%97%AD</cp:lastModifiedBy>
  <cp:lastPrinted>2021-09-09T02:26:00Z</cp:lastPrinted>
  <dcterms:modified xsi:type="dcterms:W3CDTF">2022-03-16T06:34:17Z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F0D4998216174E3C9C50B7EC7BA5741D</vt:lpwstr>
  </property>
</Properties>
</file>