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5" w:lineRule="atLeas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中国科学院天津工业生物技术研究所体外合成生物学中心</w:t>
      </w:r>
    </w:p>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朱之光课题组招聘启事</w:t>
      </w:r>
    </w:p>
    <w:p>
      <w:pPr>
        <w:rPr>
          <w:rFonts w:ascii="Times New Roman" w:hAnsi="Times New Roman" w:eastAsia="宋体" w:cs="Times New Roman"/>
          <w:b/>
          <w:bCs/>
          <w:sz w:val="30"/>
          <w:szCs w:val="30"/>
        </w:rPr>
      </w:pP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中国科学院天津工业生物技术研究所介绍：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中国科学院天津工业生物技术研究所重点开展工业蛋白质科学与生物催化工程、合成生物学与微生物制造工程、生物系统与生物工艺工程等方面的基础和应用研究，建有“工业酶国家工程实验室”、“中国科学院系统微生物工程重点实验室”、“工业生物系统与过程工程天津市重点实验室”和4个核心技术支撑平台，并获批建立博士后科研工作站和天津市海外高层次人才创新创业基地，与各类社会经济组织建立广泛的联系，成为高水平的科技与经济结合、政产学研合作、向社会开放的研发转化基地，人才培养和国际学术交流的平台。 </w:t>
      </w: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　　</w:t>
      </w: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一、研究方向　   </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中科院天津工业生物所生物电化学工程团队主要利用生物工程、合成生物学和生物电化学的方法和原理，研究生物催化与电子传递相关科学问题。通过酶设计改造、电子传递强化、以及生物-纳米介面调控等策略，构建高效、稳定的生物燃料电池、生物电化学合成、生物传感等生物电能应用系统。</w:t>
      </w:r>
    </w:p>
    <w:p>
      <w:pPr>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研究组长朱之光，系中国科学院天津工业生物技术研究所研究员，博士生导师，中科院人才计划入选者。近年来获得重点研发计划（项目首席）、国家自然科学基金、天津市自然科学基金、中科院重点部署项目等支持。曾在Chemical Reviews、</w:t>
      </w:r>
      <w:r>
        <w:rPr>
          <w:rFonts w:hint="eastAsia" w:ascii="Times New Roman" w:hAnsi="Times New Roman" w:eastAsia="宋体" w:cs="Times New Roman"/>
          <w:color w:val="000000"/>
          <w:szCs w:val="21"/>
        </w:rPr>
        <w:t>N</w:t>
      </w:r>
      <w:r>
        <w:rPr>
          <w:rFonts w:ascii="Times New Roman" w:hAnsi="Times New Roman" w:eastAsia="宋体" w:cs="Times New Roman"/>
          <w:color w:val="000000"/>
          <w:szCs w:val="21"/>
        </w:rPr>
        <w:t>ature Communications、</w:t>
      </w:r>
      <w:r>
        <w:rPr>
          <w:rFonts w:hint="eastAsia" w:ascii="Times New Roman" w:hAnsi="Times New Roman" w:eastAsia="宋体" w:cs="Times New Roman"/>
          <w:color w:val="000000"/>
          <w:szCs w:val="21"/>
        </w:rPr>
        <w:t>A</w:t>
      </w:r>
      <w:r>
        <w:rPr>
          <w:rFonts w:ascii="Times New Roman" w:hAnsi="Times New Roman" w:eastAsia="宋体" w:cs="Times New Roman"/>
          <w:color w:val="000000"/>
          <w:szCs w:val="21"/>
        </w:rPr>
        <w:t>ngewandte Chemie、</w:t>
      </w:r>
      <w:r>
        <w:rPr>
          <w:rFonts w:hint="eastAsia" w:ascii="Times New Roman" w:hAnsi="Times New Roman" w:eastAsia="宋体" w:cs="Times New Roman"/>
          <w:color w:val="000000"/>
          <w:szCs w:val="21"/>
        </w:rPr>
        <w:t>B</w:t>
      </w:r>
      <w:r>
        <w:rPr>
          <w:rFonts w:ascii="Times New Roman" w:hAnsi="Times New Roman" w:eastAsia="宋体" w:cs="Times New Roman"/>
          <w:color w:val="000000"/>
          <w:szCs w:val="21"/>
        </w:rPr>
        <w:t>iosensors &amp; Bioelectronics等知名国际学术期刊发表论文50余篇，引用2000余次，h指数20，专利10余项。</w:t>
      </w:r>
    </w:p>
    <w:p>
      <w:pPr>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研究组网页（https://www.x-mol.com/groups/zhuzhiguang）</w:t>
      </w:r>
    </w:p>
    <w:p>
      <w:pPr>
        <w:ind w:firstLine="420"/>
        <w:rPr>
          <w:rFonts w:ascii="Times New Roman" w:hAnsi="Times New Roman" w:eastAsia="宋体" w:cs="Times New Roman"/>
          <w:b/>
          <w:color w:val="000000"/>
          <w:szCs w:val="21"/>
        </w:rPr>
      </w:pPr>
      <w:r>
        <w:rPr>
          <w:rFonts w:ascii="Times New Roman" w:hAnsi="Times New Roman" w:eastAsia="宋体" w:cs="Times New Roman"/>
          <w:b/>
          <w:color w:val="000000"/>
          <w:szCs w:val="21"/>
        </w:rPr>
        <w:t>代表性论文：</w:t>
      </w:r>
    </w:p>
    <w:p>
      <w:pPr>
        <w:pStyle w:val="9"/>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 xml:space="preserve">Li F, Wei XL, Zhang L, Liu C, You C, </w:t>
      </w:r>
      <w:r>
        <w:rPr>
          <w:rFonts w:ascii="Times New Roman" w:hAnsi="Times New Roman" w:eastAsia="宋体" w:cs="Times New Roman"/>
          <w:szCs w:val="21"/>
          <w:u w:val="single"/>
        </w:rPr>
        <w:t>Zhu ZG*</w:t>
      </w:r>
      <w:r>
        <w:rPr>
          <w:rFonts w:ascii="Times New Roman" w:hAnsi="Times New Roman" w:eastAsia="宋体" w:cs="Times New Roman"/>
          <w:szCs w:val="21"/>
        </w:rPr>
        <w:t xml:space="preserve">. 2021. Installing a green engine to drive an enzyme cascade: a light-powered in vitro biosystem for poly(3-hydroxybutyrate) synthesis. </w:t>
      </w:r>
      <w:r>
        <w:rPr>
          <w:rFonts w:ascii="Times New Roman" w:hAnsi="Times New Roman" w:eastAsia="宋体" w:cs="Times New Roman"/>
          <w:b/>
          <w:bCs/>
          <w:i/>
          <w:iCs/>
          <w:szCs w:val="21"/>
        </w:rPr>
        <w:t>Angewandte Chemie International Edition</w:t>
      </w:r>
      <w:r>
        <w:rPr>
          <w:rFonts w:ascii="Times New Roman" w:hAnsi="Times New Roman" w:eastAsia="宋体" w:cs="Times New Roman"/>
          <w:szCs w:val="21"/>
        </w:rPr>
        <w:t xml:space="preserve"> in press</w:t>
      </w:r>
    </w:p>
    <w:p>
      <w:pPr>
        <w:pStyle w:val="9"/>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 xml:space="preserve">Song HY, Zhou XG, </w:t>
      </w:r>
      <w:r>
        <w:rPr>
          <w:rFonts w:ascii="Times New Roman" w:hAnsi="Times New Roman" w:eastAsia="宋体" w:cs="Times New Roman"/>
          <w:kern w:val="0"/>
          <w:szCs w:val="21"/>
          <w:u w:val="single"/>
        </w:rPr>
        <w:t>Zhu ZG*</w:t>
      </w:r>
      <w:r>
        <w:rPr>
          <w:rFonts w:ascii="Times New Roman" w:hAnsi="Times New Roman" w:eastAsia="宋体" w:cs="Times New Roman"/>
          <w:kern w:val="0"/>
          <w:szCs w:val="21"/>
        </w:rPr>
        <w:t xml:space="preserve">. 2021. An integrated NAD+-dependent dehydrogenase-based biosensor for xylose fermentation sample analysis. </w:t>
      </w:r>
      <w:r>
        <w:rPr>
          <w:rFonts w:ascii="Times New Roman" w:hAnsi="Times New Roman" w:eastAsia="宋体" w:cs="Times New Roman"/>
          <w:b/>
          <w:bCs/>
          <w:i/>
          <w:iCs/>
          <w:kern w:val="0"/>
          <w:szCs w:val="21"/>
        </w:rPr>
        <w:t>Biosensors and Bioelectronics</w:t>
      </w:r>
      <w:r>
        <w:rPr>
          <w:rFonts w:ascii="Times New Roman" w:hAnsi="Times New Roman" w:eastAsia="宋体" w:cs="Times New Roman"/>
          <w:kern w:val="0"/>
          <w:szCs w:val="21"/>
        </w:rPr>
        <w:t xml:space="preserve"> 193: 113573</w:t>
      </w:r>
    </w:p>
    <w:p>
      <w:pPr>
        <w:pStyle w:val="9"/>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 xml:space="preserve">Wu RR, Ma CL, </w:t>
      </w:r>
      <w:r>
        <w:rPr>
          <w:rFonts w:ascii="Times New Roman" w:hAnsi="Times New Roman" w:eastAsia="宋体" w:cs="Times New Roman"/>
          <w:kern w:val="0"/>
          <w:szCs w:val="21"/>
          <w:u w:val="single"/>
        </w:rPr>
        <w:t>Zhu ZG*</w:t>
      </w:r>
      <w:r>
        <w:rPr>
          <w:rFonts w:ascii="Times New Roman" w:hAnsi="Times New Roman" w:eastAsia="宋体" w:cs="Times New Roman"/>
          <w:kern w:val="0"/>
          <w:szCs w:val="21"/>
        </w:rPr>
        <w:t xml:space="preserve">. 2020. Enzymatic electrosynthesis as an emerging electrochemical synthesis platform. </w:t>
      </w:r>
      <w:r>
        <w:rPr>
          <w:rFonts w:ascii="Times New Roman" w:hAnsi="Times New Roman" w:eastAsia="宋体" w:cs="Times New Roman"/>
          <w:b/>
          <w:bCs/>
          <w:i/>
          <w:iCs/>
          <w:kern w:val="0"/>
          <w:szCs w:val="21"/>
        </w:rPr>
        <w:t>Current Opinion in Electrochemistry</w:t>
      </w:r>
      <w:r>
        <w:rPr>
          <w:rFonts w:ascii="Times New Roman" w:hAnsi="Times New Roman" w:eastAsia="宋体" w:cs="Times New Roman"/>
          <w:kern w:val="0"/>
          <w:szCs w:val="21"/>
        </w:rPr>
        <w:t xml:space="preserve"> 19:1-7</w:t>
      </w:r>
    </w:p>
    <w:p>
      <w:pPr>
        <w:pStyle w:val="9"/>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 xml:space="preserve">Xiao XX#, Xia HQ#, Wu RR#, Bai L, Yan L, Magner E, Cosnier S, Lojou E*, </w:t>
      </w:r>
      <w:r>
        <w:rPr>
          <w:rFonts w:ascii="Times New Roman" w:hAnsi="Times New Roman" w:eastAsia="宋体" w:cs="Times New Roman"/>
          <w:kern w:val="0"/>
          <w:szCs w:val="21"/>
          <w:u w:val="single"/>
        </w:rPr>
        <w:t>Zhu ZG*</w:t>
      </w:r>
      <w:r>
        <w:rPr>
          <w:rFonts w:ascii="Times New Roman" w:hAnsi="Times New Roman" w:eastAsia="宋体" w:cs="Times New Roman"/>
          <w:kern w:val="0"/>
          <w:szCs w:val="21"/>
        </w:rPr>
        <w:t xml:space="preserve">, Liu AH*. 2019. Tackling the challenges of enzymatic (bio)fuel cells. </w:t>
      </w:r>
      <w:r>
        <w:rPr>
          <w:rFonts w:ascii="Times New Roman" w:hAnsi="Times New Roman" w:eastAsia="宋体" w:cs="Times New Roman"/>
          <w:b/>
          <w:bCs/>
          <w:i/>
          <w:iCs/>
          <w:kern w:val="0"/>
          <w:szCs w:val="21"/>
        </w:rPr>
        <w:t xml:space="preserve">Chemical Reviews </w:t>
      </w:r>
      <w:r>
        <w:rPr>
          <w:rFonts w:ascii="Times New Roman" w:hAnsi="Times New Roman" w:eastAsia="宋体" w:cs="Times New Roman"/>
          <w:kern w:val="0"/>
          <w:szCs w:val="21"/>
        </w:rPr>
        <w:t>119:9509-9558 (# co-first authors)</w:t>
      </w:r>
    </w:p>
    <w:p>
      <w:pPr>
        <w:pStyle w:val="9"/>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 xml:space="preserve">Kang ZP, Zhang Y-HP, </w:t>
      </w:r>
      <w:r>
        <w:rPr>
          <w:rFonts w:ascii="Times New Roman" w:hAnsi="Times New Roman" w:eastAsia="宋体" w:cs="Times New Roman"/>
          <w:kern w:val="0"/>
          <w:szCs w:val="21"/>
          <w:u w:val="single"/>
        </w:rPr>
        <w:t>Zhu ZG*</w:t>
      </w:r>
      <w:r>
        <w:rPr>
          <w:rFonts w:ascii="Times New Roman" w:hAnsi="Times New Roman" w:eastAsia="宋体" w:cs="Times New Roman"/>
          <w:kern w:val="0"/>
          <w:szCs w:val="21"/>
        </w:rPr>
        <w:t xml:space="preserve">. 2019. A shriveled rectangular carbon tube with the concave surface for high-performance enzymatic glucose/O2 biofuel cells. </w:t>
      </w:r>
      <w:r>
        <w:rPr>
          <w:rFonts w:ascii="Times New Roman" w:hAnsi="Times New Roman" w:eastAsia="宋体" w:cs="Times New Roman"/>
          <w:b/>
          <w:bCs/>
          <w:i/>
          <w:iCs/>
          <w:kern w:val="0"/>
          <w:szCs w:val="21"/>
        </w:rPr>
        <w:t>Biosensors and Bioelectronics</w:t>
      </w:r>
      <w:r>
        <w:rPr>
          <w:rFonts w:ascii="Times New Roman" w:hAnsi="Times New Roman" w:eastAsia="宋体" w:cs="Times New Roman"/>
          <w:kern w:val="0"/>
          <w:szCs w:val="21"/>
        </w:rPr>
        <w:t xml:space="preserve"> 132:76-83</w:t>
      </w:r>
    </w:p>
    <w:p>
      <w:pPr>
        <w:pStyle w:val="9"/>
        <w:widowControl/>
        <w:ind w:left="420" w:firstLine="0" w:firstLineChars="0"/>
        <w:rPr>
          <w:rFonts w:ascii="Times New Roman" w:hAnsi="Times New Roman" w:eastAsia="宋体" w:cs="Times New Roman"/>
          <w:kern w:val="0"/>
          <w:szCs w:val="21"/>
        </w:rPr>
      </w:pP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二、招聘岗位  </w:t>
      </w:r>
    </w:p>
    <w:p>
      <w:pPr>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因科研工作需要，现公开招聘科研助理或博士后</w:t>
      </w: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-4</w:t>
      </w:r>
      <w:r>
        <w:rPr>
          <w:rFonts w:hint="eastAsia" w:ascii="Times New Roman" w:hAnsi="Times New Roman" w:eastAsia="宋体" w:cs="Times New Roman"/>
          <w:color w:val="000000"/>
          <w:szCs w:val="21"/>
        </w:rPr>
        <w:t>名</w:t>
      </w:r>
      <w:r>
        <w:rPr>
          <w:rFonts w:ascii="Times New Roman" w:hAnsi="Times New Roman" w:eastAsia="宋体" w:cs="Times New Roman"/>
          <w:color w:val="000000"/>
          <w:szCs w:val="21"/>
        </w:rPr>
        <w:t>。</w:t>
      </w:r>
    </w:p>
    <w:p>
      <w:pPr>
        <w:rPr>
          <w:rFonts w:ascii="Times New Roman" w:hAnsi="Times New Roman" w:eastAsia="宋体" w:cs="Times New Roman"/>
          <w:b/>
          <w:color w:val="000000"/>
          <w:szCs w:val="21"/>
        </w:rPr>
      </w:pP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三、应聘条件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1、有较强的工作责任心、独立思考能力和团队协作精神，身心健康；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2、科研助理需要硕士或博士学位，申请博士后需要博士学位，具有</w:t>
      </w:r>
      <w:r>
        <w:rPr>
          <w:rFonts w:ascii="Times New Roman" w:hAnsi="Times New Roman" w:eastAsia="宋体" w:cs="Times New Roman"/>
          <w:b/>
          <w:color w:val="000000"/>
          <w:szCs w:val="21"/>
        </w:rPr>
        <w:t>分子生物学、生物化</w:t>
      </w:r>
      <w:r>
        <w:rPr>
          <w:rFonts w:ascii="Times New Roman" w:hAnsi="Times New Roman" w:eastAsia="宋体" w:cs="Times New Roman"/>
          <w:b/>
          <w:bCs/>
          <w:color w:val="000000"/>
          <w:szCs w:val="21"/>
        </w:rPr>
        <w:t>学、</w:t>
      </w:r>
      <w:r>
        <w:rPr>
          <w:rFonts w:ascii="Times New Roman" w:hAnsi="Times New Roman" w:eastAsia="宋体" w:cs="Times New Roman"/>
          <w:b/>
          <w:color w:val="000000"/>
          <w:szCs w:val="21"/>
        </w:rPr>
        <w:t>微生物学、生物电化学</w:t>
      </w:r>
      <w:r>
        <w:rPr>
          <w:rFonts w:ascii="Times New Roman" w:hAnsi="Times New Roman" w:eastAsia="宋体" w:cs="Times New Roman"/>
          <w:color w:val="000000"/>
          <w:szCs w:val="21"/>
        </w:rPr>
        <w:t>等方面的研究背景；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3、有较强的语言表达与写作能力，以第一作者在国际期刊上发表过至少一篇研究论文；　　     </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4、具有独立开展科研工作的能力和自身发展的潜力。  </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  </w:t>
      </w: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四、岗位待遇 </w:t>
      </w:r>
    </w:p>
    <w:p>
      <w:pPr>
        <w:ind w:firstLine="422" w:firstLineChars="200"/>
        <w:rPr>
          <w:rFonts w:ascii="Times New Roman" w:hAnsi="Times New Roman" w:eastAsia="宋体" w:cs="Times New Roman"/>
          <w:b/>
          <w:color w:val="000000"/>
          <w:szCs w:val="21"/>
        </w:rPr>
      </w:pPr>
      <w:r>
        <w:rPr>
          <w:rFonts w:ascii="Times New Roman" w:hAnsi="Times New Roman" w:eastAsia="宋体" w:cs="Times New Roman"/>
          <w:b/>
          <w:color w:val="000000"/>
          <w:szCs w:val="21"/>
        </w:rPr>
        <w:t>博士后： </w:t>
      </w:r>
    </w:p>
    <w:p>
      <w:pPr>
        <w:ind w:firstLine="42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1．工资及福利待遇按照研究所博士后有关规定执行；除此之外还享受天津市博士后来（留）津专项生活补助5万元，拨付博士后本人；并享受滨海新区在站博士后生活补贴15万/年，共两年，拨付博士后本人； </w:t>
      </w:r>
    </w:p>
    <w:p>
      <w:pPr>
        <w:ind w:firstLine="42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2. 优秀者推荐申报研究所特别博士后计划在内的各类型博士后项目，如入选可以获得不少于100-150万元经费支持；获得特别博士后的年薪34万（税前，包含公积金、补充公积金等），详情参考“国家合成生物技术创新中心2020年特别博士后招聘计划”（http://www.tib.cas.cn/tzxx/rczp/201909/t20190926_5401496.html） </w:t>
      </w:r>
    </w:p>
    <w:p>
      <w:pPr>
        <w:ind w:firstLine="42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3. 出站留在天津市滨海新区工作者，可以享受天津市滨海新区安家补助，拨付博士后本人；</w:t>
      </w:r>
    </w:p>
    <w:p>
      <w:pPr>
        <w:ind w:firstLine="42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4. 解决本人及新生子女落入研究所集体户口，方便就近入学；   </w:t>
      </w:r>
    </w:p>
    <w:p>
      <w:pPr>
        <w:ind w:firstLine="42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5. 所开发的产品通过技术转让后可以获得丰厚的产业化提成。</w:t>
      </w:r>
    </w:p>
    <w:p>
      <w:pPr>
        <w:rPr>
          <w:rFonts w:ascii="Times New Roman" w:hAnsi="Times New Roman" w:eastAsia="宋体" w:cs="Times New Roman"/>
          <w:b/>
          <w:color w:val="000000"/>
          <w:szCs w:val="21"/>
        </w:rPr>
      </w:pPr>
    </w:p>
    <w:p>
      <w:pPr>
        <w:ind w:firstLine="422" w:firstLineChars="200"/>
        <w:rPr>
          <w:rFonts w:ascii="Times New Roman" w:hAnsi="Times New Roman" w:eastAsia="宋体" w:cs="Times New Roman"/>
          <w:color w:val="000000"/>
          <w:szCs w:val="21"/>
        </w:rPr>
      </w:pPr>
      <w:r>
        <w:rPr>
          <w:rFonts w:ascii="Times New Roman" w:hAnsi="Times New Roman" w:eastAsia="宋体" w:cs="Times New Roman"/>
          <w:b/>
          <w:color w:val="000000"/>
          <w:szCs w:val="21"/>
        </w:rPr>
        <w:t>（特别）研究助理</w:t>
      </w:r>
      <w:r>
        <w:rPr>
          <w:rFonts w:ascii="Times New Roman" w:hAnsi="Times New Roman" w:eastAsia="宋体" w:cs="Times New Roman"/>
          <w:color w:val="000000"/>
          <w:szCs w:val="21"/>
        </w:rPr>
        <w:t>：</w:t>
      </w:r>
    </w:p>
    <w:p>
      <w:pPr>
        <w:pStyle w:val="9"/>
        <w:numPr>
          <w:ilvl w:val="0"/>
          <w:numId w:val="1"/>
        </w:numPr>
        <w:rPr>
          <w:rFonts w:ascii="Times New Roman" w:hAnsi="Times New Roman" w:eastAsia="宋体" w:cs="Times New Roman"/>
          <w:color w:val="000000"/>
          <w:szCs w:val="21"/>
        </w:rPr>
      </w:pPr>
      <w:r>
        <w:rPr>
          <w:rFonts w:ascii="Times New Roman" w:hAnsi="Times New Roman" w:eastAsia="宋体" w:cs="Times New Roman"/>
          <w:color w:val="000000"/>
          <w:szCs w:val="21"/>
        </w:rPr>
        <w:t>工资及福利待遇按照研究所项目聘用人员有关规定执行，包含基础薪酬、绩效、社保、住房公积金等； </w:t>
      </w:r>
    </w:p>
    <w:p>
      <w:pPr>
        <w:pStyle w:val="9"/>
        <w:numPr>
          <w:ilvl w:val="0"/>
          <w:numId w:val="1"/>
        </w:numPr>
        <w:ind w:left="0" w:leftChars="0"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符合条件者享受滨海新区储备人才补贴；</w:t>
      </w:r>
    </w:p>
    <w:p>
      <w:pPr>
        <w:pStyle w:val="9"/>
        <w:numPr>
          <w:ilvl w:val="0"/>
          <w:numId w:val="1"/>
        </w:numPr>
        <w:ind w:left="0" w:leftChars="0"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解决本人及新生子女落入研究所集体户口；</w:t>
      </w:r>
    </w:p>
    <w:p>
      <w:pPr>
        <w:pStyle w:val="9"/>
        <w:numPr>
          <w:ilvl w:val="0"/>
          <w:numId w:val="1"/>
        </w:numPr>
        <w:ind w:left="0" w:leftChars="0"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符合条件者推荐申报中国科学院特别研究助理项目，入选后获资助60万； </w:t>
      </w:r>
    </w:p>
    <w:p>
      <w:pPr>
        <w:pStyle w:val="9"/>
        <w:numPr>
          <w:ilvl w:val="0"/>
          <w:numId w:val="1"/>
        </w:numPr>
        <w:ind w:left="0" w:leftChars="0"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所开发的产品通过技术转让后可以获得丰厚的产业化提成。　</w:t>
      </w:r>
    </w:p>
    <w:p>
      <w:pPr>
        <w:rPr>
          <w:rFonts w:ascii="Times New Roman" w:hAnsi="Times New Roman" w:eastAsia="宋体" w:cs="Times New Roman"/>
          <w:b/>
          <w:color w:val="000000"/>
          <w:szCs w:val="21"/>
        </w:rPr>
      </w:pP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　　五、应聘方式　　   　　      </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1、应聘者请将简历发至</w:t>
      </w:r>
      <w:r>
        <w:rPr>
          <w:rFonts w:hint="default" w:ascii="Times New Roman" w:hAnsi="Times New Roman" w:eastAsia="微软雅黑" w:cs="Times New Roman"/>
          <w:b/>
          <w:bCs/>
          <w:color w:val="FF0000"/>
        </w:rPr>
        <w:t>zhu_zg@tib.cas.cn</w:t>
      </w:r>
      <w:r>
        <w:rPr>
          <w:rFonts w:hint="default" w:ascii="Times New Roman" w:hAnsi="Times New Roman" w:eastAsia="微软雅黑" w:cs="Times New Roman"/>
          <w:b/>
          <w:bCs/>
          <w:color w:val="FF0000"/>
          <w:lang w:val="en-US" w:eastAsia="zh-CN"/>
        </w:rPr>
        <w:t>,</w:t>
      </w:r>
      <w:r>
        <w:rPr>
          <w:rFonts w:hint="default" w:ascii="Times New Roman" w:hAnsi="Times New Roman" w:eastAsia="微软雅黑" w:cs="Times New Roman"/>
          <w:b/>
          <w:bCs/>
          <w:color w:val="FF0000"/>
          <w:szCs w:val="21"/>
        </w:rPr>
        <w:t>tib_zp@tib.cas.cn</w:t>
      </w:r>
      <w:r>
        <w:rPr>
          <w:rFonts w:hint="default" w:ascii="Times New Roman" w:hAnsi="Times New Roman" w:eastAsia="微软雅黑" w:cs="Times New Roman"/>
          <w:b/>
          <w:bCs/>
          <w:color w:val="FF0000"/>
          <w:sz w:val="21"/>
          <w:szCs w:val="21"/>
          <w:u w:val="none"/>
          <w:lang w:val="en-US" w:eastAsia="zh-CN"/>
        </w:rPr>
        <w:t>,</w:t>
      </w:r>
      <w:r>
        <w:rPr>
          <w:rFonts w:hint="default" w:ascii="Times New Roman" w:hAnsi="Times New Roman" w:eastAsia="微软雅黑" w:cs="Times New Roman"/>
          <w:b/>
          <w:bCs/>
          <w:color w:val="FF0000"/>
          <w:u w:val="none"/>
        </w:rPr>
        <w:fldChar w:fldCharType="begin"/>
      </w:r>
      <w:r>
        <w:rPr>
          <w:rFonts w:hint="default" w:ascii="Times New Roman" w:hAnsi="Times New Roman" w:eastAsia="微软雅黑" w:cs="Times New Roman"/>
          <w:b/>
          <w:bCs/>
          <w:color w:val="FF0000"/>
          <w:u w:val="none"/>
        </w:rPr>
        <w:instrText xml:space="preserve"> HYPERLINK "mailto:hjdfjg12@126.com" </w:instrText>
      </w:r>
      <w:r>
        <w:rPr>
          <w:rFonts w:hint="default" w:ascii="Times New Roman" w:hAnsi="Times New Roman" w:eastAsia="微软雅黑" w:cs="Times New Roman"/>
          <w:b/>
          <w:bCs/>
          <w:color w:val="FF0000"/>
          <w:u w:val="none"/>
        </w:rPr>
        <w:fldChar w:fldCharType="separate"/>
      </w:r>
      <w:r>
        <w:rPr>
          <w:rStyle w:val="6"/>
          <w:rFonts w:hint="default" w:ascii="Times New Roman" w:hAnsi="Times New Roman" w:eastAsia="微软雅黑" w:cs="Times New Roman"/>
          <w:b/>
          <w:bCs/>
          <w:color w:val="FF0000"/>
          <w:u w:val="none"/>
        </w:rPr>
        <w:t>hjdfjg12@126.com</w:t>
      </w:r>
      <w:r>
        <w:rPr>
          <w:rStyle w:val="6"/>
          <w:rFonts w:hint="default" w:ascii="Times New Roman" w:hAnsi="Times New Roman" w:eastAsia="微软雅黑" w:cs="Times New Roman"/>
          <w:b/>
          <w:bCs/>
          <w:color w:val="FF0000"/>
          <w:u w:val="none"/>
        </w:rPr>
        <w:fldChar w:fldCharType="end"/>
      </w:r>
      <w:r>
        <w:rPr>
          <w:rFonts w:ascii="Times New Roman" w:hAnsi="Times New Roman" w:eastAsia="宋体" w:cs="Times New Roman"/>
          <w:color w:val="000000"/>
          <w:szCs w:val="21"/>
        </w:rPr>
        <w:t>。</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邮件名称为“</w:t>
      </w:r>
      <w:r>
        <w:rPr>
          <w:rFonts w:hint="eastAsia" w:ascii="微软雅黑" w:hAnsi="微软雅黑" w:eastAsia="微软雅黑" w:cs="微软雅黑"/>
          <w:b/>
          <w:bCs/>
          <w:color w:val="FF0000"/>
          <w:szCs w:val="21"/>
        </w:rPr>
        <w:t>体外合成生物学中心科研助理/博士后+姓名</w:t>
      </w:r>
      <w:r>
        <w:rPr>
          <w:rFonts w:hint="eastAsia" w:ascii="微软雅黑" w:hAnsi="微软雅黑" w:eastAsia="微软雅黑" w:cs="微软雅黑"/>
          <w:b/>
          <w:bCs/>
          <w:color w:val="FF0000"/>
          <w:szCs w:val="21"/>
          <w:lang w:val="en-US" w:eastAsia="zh-CN"/>
        </w:rPr>
        <w:t>+</w:t>
      </w:r>
      <w:r>
        <w:rPr>
          <w:rFonts w:hint="eastAsia" w:ascii="微软雅黑" w:hAnsi="微软雅黑" w:eastAsia="微软雅黑" w:cs="微软雅黑"/>
          <w:b/>
          <w:bCs/>
          <w:color w:val="FF0000"/>
          <w:lang w:val="en-US" w:eastAsia="zh-CN"/>
        </w:rPr>
        <w:t>中国</w:t>
      </w:r>
      <w:r>
        <w:rPr>
          <w:rFonts w:hint="eastAsia" w:ascii="微软雅黑" w:hAnsi="微软雅黑" w:eastAsia="微软雅黑" w:cs="微软雅黑"/>
          <w:b/>
          <w:bCs/>
          <w:color w:val="FF0000"/>
        </w:rPr>
        <w:t>优秀人才网</w:t>
      </w:r>
      <w:r>
        <w:rPr>
          <w:rFonts w:ascii="Times New Roman" w:hAnsi="Times New Roman" w:eastAsia="宋体" w:cs="Times New Roman"/>
          <w:color w:val="000000"/>
          <w:szCs w:val="21"/>
        </w:rPr>
        <w:t>”。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2、初选合格者，将电话或E-mail通知面试。    　　     </w:t>
      </w:r>
    </w:p>
    <w:p>
      <w:pPr>
        <w:rPr>
          <w:rFonts w:ascii="Times New Roman" w:hAnsi="Times New Roman" w:eastAsia="宋体" w:cs="Times New Roman"/>
          <w:b/>
          <w:bCs/>
          <w:sz w:val="30"/>
          <w:szCs w:val="30"/>
        </w:rPr>
      </w:pPr>
      <w:r>
        <w:rPr>
          <w:rFonts w:ascii="Times New Roman" w:hAnsi="Times New Roman" w:eastAsia="宋体" w:cs="Times New Roman"/>
          <w:color w:val="000000"/>
          <w:szCs w:val="21"/>
        </w:rPr>
        <w:t>　　3、本招聘启事有效期截至到岗位人员招满为止。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157C4"/>
    <w:multiLevelType w:val="singleLevel"/>
    <w:tmpl w:val="88D157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03"/>
    <w:rsid w:val="001D5072"/>
    <w:rsid w:val="002A6129"/>
    <w:rsid w:val="002B65E6"/>
    <w:rsid w:val="002F10E5"/>
    <w:rsid w:val="0056586C"/>
    <w:rsid w:val="007B3F03"/>
    <w:rsid w:val="007B4412"/>
    <w:rsid w:val="009C103B"/>
    <w:rsid w:val="00AA0050"/>
    <w:rsid w:val="00B3194D"/>
    <w:rsid w:val="00C901B0"/>
    <w:rsid w:val="00D126EB"/>
    <w:rsid w:val="00D73123"/>
    <w:rsid w:val="00D95E4D"/>
    <w:rsid w:val="00DC3176"/>
    <w:rsid w:val="00DD1188"/>
    <w:rsid w:val="15D04D6A"/>
    <w:rsid w:val="160E4A53"/>
    <w:rsid w:val="408E1DFC"/>
    <w:rsid w:val="45AA1824"/>
    <w:rsid w:val="7318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397</Words>
  <Characters>2267</Characters>
  <Lines>18</Lines>
  <Paragraphs>5</Paragraphs>
  <TotalTime>0</TotalTime>
  <ScaleCrop>false</ScaleCrop>
  <LinksUpToDate>false</LinksUpToDate>
  <CharactersWithSpaces>2659</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2017-09-01T07:47:00Z</dcterms:created>
  <dc:creator>Zhiguang Zhu</dc:creator>
  <cp:lastModifiedBy>HP</cp:lastModifiedBy>
  <dcterms:modified xsi:type="dcterms:W3CDTF">2021-11-16T09:10:59Z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CED61A1CF1324916B222F2498B0EC309</vt:lpwstr>
  </property>
</Properties>
</file>