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tabs>
          <w:tab w:val="left" w:pos="1100"/>
          <w:tab w:val="center" w:pos="4501"/>
        </w:tabs>
        <w:adjustRightInd w:val="0"/>
        <w:snapToGrid w:val="0"/>
        <w:spacing w:before="0" w:beforeAutospacing="0" w:after="0" w:afterAutospacing="0" w:line="276" w:lineRule="auto"/>
        <w:ind w:left="463" w:right="0" w:hanging="463" w:hangingChars="89"/>
        <w:contextualSpacing/>
        <w:jc w:val="center"/>
        <w:rPr>
          <w:rFonts w:hint="eastAsia" w:ascii="微软雅黑" w:hAnsi="微软雅黑" w:eastAsia="微软雅黑" w:cs="微软雅黑"/>
          <w:color w:val="00B0F0"/>
          <w:sz w:val="52"/>
          <w:szCs w:val="52"/>
          <w:lang w:val="en-US"/>
        </w:rPr>
      </w:pPr>
      <w:r>
        <w:rPr>
          <w:rFonts w:hint="eastAsia" w:ascii="微软雅黑" w:hAnsi="微软雅黑" w:eastAsia="微软雅黑" w:cs="微软雅黑"/>
          <w:color w:val="00B0F0"/>
          <w:sz w:val="52"/>
          <w:szCs w:val="52"/>
          <w:lang w:eastAsia="zh-CN"/>
        </w:rPr>
        <w:t>“视界无限，宇你同行”</w:t>
      </w:r>
    </w:p>
    <w:p>
      <w:pPr>
        <w:pStyle w:val="2"/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156" w:afterLines="50" w:afterAutospacing="0" w:line="276" w:lineRule="auto"/>
        <w:ind w:left="0" w:right="0" w:firstLine="0"/>
        <w:contextualSpacing/>
        <w:jc w:val="right"/>
        <w:rPr>
          <w:rFonts w:hint="eastAsia" w:ascii="微软雅黑" w:hAnsi="微软雅黑" w:eastAsia="微软雅黑" w:cs="宋体"/>
          <w:b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宋体"/>
          <w:b w:val="0"/>
          <w:sz w:val="24"/>
          <w:szCs w:val="24"/>
          <w:lang w:eastAsia="zh-CN"/>
        </w:rPr>
        <w:t>——宇视科技</w:t>
      </w:r>
      <w:r>
        <w:rPr>
          <w:rFonts w:hint="eastAsia" w:ascii="微软雅黑" w:hAnsi="微软雅黑" w:eastAsia="微软雅黑" w:cs="宋体"/>
          <w:b w:val="0"/>
          <w:sz w:val="24"/>
          <w:szCs w:val="24"/>
          <w:lang w:val="en-US"/>
        </w:rPr>
        <w:t>2021</w:t>
      </w:r>
      <w:r>
        <w:rPr>
          <w:rFonts w:hint="eastAsia" w:ascii="微软雅黑" w:hAnsi="微软雅黑" w:eastAsia="微软雅黑" w:cs="宋体"/>
          <w:b w:val="0"/>
          <w:sz w:val="24"/>
          <w:szCs w:val="24"/>
          <w:lang w:eastAsia="zh-CN"/>
        </w:rPr>
        <w:t>届校园招聘简章</w:t>
      </w:r>
    </w:p>
    <w:p>
      <w:pPr>
        <w:pStyle w:val="17"/>
        <w:widowControl/>
        <w:numPr>
          <w:ilvl w:val="0"/>
          <w:numId w:val="2"/>
        </w:numPr>
        <w:adjustRightInd w:val="0"/>
        <w:snapToGrid w:val="0"/>
        <w:ind w:left="420" w:hanging="420" w:firstLineChars="0"/>
        <w:jc w:val="left"/>
        <w:rPr>
          <w:rFonts w:hint="eastAsia" w:ascii="微软雅黑" w:hAnsi="微软雅黑" w:eastAsia="微软雅黑" w:cs="宋体"/>
          <w:b/>
          <w:bCs w:val="0"/>
          <w:lang w:val="en-US"/>
        </w:rPr>
      </w:pPr>
      <w:r>
        <w:rPr>
          <w:rFonts w:hint="eastAsia" w:ascii="微软雅黑" w:hAnsi="微软雅黑" w:eastAsia="微软雅黑" w:cs="宋体"/>
          <w:lang w:eastAsia="zh-CN"/>
        </w:rPr>
        <w:t>创业</w:t>
      </w:r>
      <w:r>
        <w:rPr>
          <w:rFonts w:hint="eastAsia" w:ascii="微软雅黑" w:hAnsi="微软雅黑" w:eastAsia="微软雅黑" w:cs="宋体"/>
          <w:b/>
          <w:bCs w:val="0"/>
          <w:lang w:eastAsia="zh-CN"/>
        </w:rPr>
        <w:t>八年，</w:t>
      </w:r>
      <w:r>
        <w:rPr>
          <w:rFonts w:hint="eastAsia" w:ascii="微软雅黑" w:hAnsi="微软雅黑" w:eastAsia="微软雅黑" w:cs="宋体"/>
          <w:lang w:val="en-US" w:eastAsia="zh-CN"/>
        </w:rPr>
        <w:t>营收</w:t>
      </w:r>
      <w:r>
        <w:rPr>
          <w:rFonts w:hint="eastAsia" w:ascii="微软雅黑" w:hAnsi="微软雅黑" w:eastAsia="微软雅黑" w:cs="宋体"/>
          <w:b/>
          <w:bCs w:val="0"/>
          <w:lang w:val="en-US"/>
        </w:rPr>
        <w:t>16</w:t>
      </w:r>
      <w:r>
        <w:rPr>
          <w:rFonts w:hint="eastAsia" w:ascii="微软雅黑" w:hAnsi="微软雅黑" w:eastAsia="微软雅黑" w:cs="宋体"/>
          <w:b/>
          <w:bCs w:val="0"/>
          <w:lang w:eastAsia="zh-CN"/>
        </w:rPr>
        <w:t>倍增长</w:t>
      </w:r>
    </w:p>
    <w:p>
      <w:pPr>
        <w:pStyle w:val="17"/>
        <w:widowControl/>
        <w:numPr>
          <w:ilvl w:val="0"/>
          <w:numId w:val="2"/>
        </w:numPr>
        <w:adjustRightInd w:val="0"/>
        <w:snapToGrid w:val="0"/>
        <w:ind w:left="420" w:hanging="420" w:firstLineChars="0"/>
        <w:jc w:val="left"/>
        <w:rPr>
          <w:rFonts w:hint="eastAsia" w:ascii="微软雅黑" w:hAnsi="微软雅黑" w:eastAsia="微软雅黑" w:cs="宋体"/>
          <w:lang w:val="en-US"/>
        </w:rPr>
      </w:pPr>
      <w:r>
        <w:rPr>
          <w:rFonts w:hint="eastAsia" w:ascii="微软雅黑" w:hAnsi="微软雅黑" w:eastAsia="微软雅黑" w:cs="宋体"/>
          <w:lang w:eastAsia="zh-CN"/>
        </w:rPr>
        <w:t>已成功交付全球</w:t>
      </w:r>
      <w:r>
        <w:rPr>
          <w:rFonts w:hint="eastAsia" w:ascii="微软雅黑" w:hAnsi="微软雅黑" w:eastAsia="微软雅黑" w:cs="宋体"/>
          <w:b/>
          <w:bCs w:val="0"/>
          <w:lang w:val="en-US"/>
        </w:rPr>
        <w:t>145</w:t>
      </w:r>
      <w:r>
        <w:rPr>
          <w:rFonts w:hint="eastAsia" w:ascii="微软雅黑" w:hAnsi="微软雅黑" w:eastAsia="微软雅黑" w:cs="宋体"/>
          <w:b/>
          <w:bCs w:val="0"/>
          <w:lang w:eastAsia="zh-CN"/>
        </w:rPr>
        <w:t>个国家和地区</w:t>
      </w:r>
      <w:r>
        <w:rPr>
          <w:rFonts w:hint="eastAsia" w:ascii="微软雅黑" w:hAnsi="微软雅黑" w:eastAsia="微软雅黑" w:cs="宋体"/>
          <w:lang w:eastAsia="zh-CN"/>
        </w:rPr>
        <w:t>的视频监控项目</w:t>
      </w:r>
    </w:p>
    <w:p>
      <w:pPr>
        <w:pStyle w:val="17"/>
        <w:widowControl/>
        <w:numPr>
          <w:ilvl w:val="0"/>
          <w:numId w:val="2"/>
        </w:numPr>
        <w:adjustRightInd w:val="0"/>
        <w:snapToGrid w:val="0"/>
        <w:ind w:left="420" w:hanging="420" w:firstLineChars="0"/>
        <w:jc w:val="left"/>
        <w:rPr>
          <w:rFonts w:hint="eastAsia" w:ascii="微软雅黑" w:hAnsi="微软雅黑" w:eastAsia="微软雅黑" w:cs="宋体"/>
          <w:b/>
          <w:bCs w:val="0"/>
          <w:lang w:val="en-US"/>
        </w:rPr>
      </w:pPr>
      <w:r>
        <w:rPr>
          <w:rFonts w:hint="eastAsia" w:ascii="微软雅黑" w:hAnsi="微软雅黑" w:eastAsia="微软雅黑" w:cs="宋体"/>
          <w:lang w:eastAsia="zh-CN"/>
        </w:rPr>
        <w:t>全球市场</w:t>
      </w:r>
      <w:r>
        <w:rPr>
          <w:rFonts w:hint="eastAsia" w:ascii="微软雅黑" w:hAnsi="微软雅黑" w:eastAsia="微软雅黑" w:cs="宋体"/>
          <w:b/>
          <w:bCs w:val="0"/>
          <w:lang w:val="en-US"/>
        </w:rPr>
        <w:t>TOP 4</w:t>
      </w:r>
      <w:r>
        <w:rPr>
          <w:rFonts w:hint="eastAsia" w:ascii="微软雅黑" w:hAnsi="微软雅黑" w:eastAsia="微软雅黑" w:cs="宋体"/>
          <w:b/>
          <w:bCs w:val="0"/>
          <w:lang w:eastAsia="zh-CN"/>
        </w:rPr>
        <w:t>，</w:t>
      </w:r>
      <w:r>
        <w:rPr>
          <w:rFonts w:hint="eastAsia" w:ascii="微软雅黑" w:hAnsi="微软雅黑" w:eastAsia="微软雅黑" w:cs="宋体"/>
          <w:lang w:eastAsia="zh-CN"/>
        </w:rPr>
        <w:t>中国视频监控领域</w:t>
      </w:r>
      <w:r>
        <w:rPr>
          <w:rFonts w:hint="eastAsia" w:ascii="微软雅黑" w:hAnsi="微软雅黑" w:eastAsia="微软雅黑" w:cs="宋体"/>
          <w:b/>
          <w:bCs w:val="0"/>
          <w:lang w:val="en-US"/>
        </w:rPr>
        <w:t>TOP 3</w:t>
      </w:r>
    </w:p>
    <w:p>
      <w:pPr>
        <w:pStyle w:val="17"/>
        <w:widowControl/>
        <w:numPr>
          <w:ilvl w:val="0"/>
          <w:numId w:val="2"/>
        </w:numPr>
        <w:adjustRightInd w:val="0"/>
        <w:snapToGrid w:val="0"/>
        <w:ind w:left="420" w:hanging="420" w:firstLineChars="0"/>
        <w:jc w:val="left"/>
        <w:rPr>
          <w:rFonts w:hint="eastAsia" w:ascii="微软雅黑" w:hAnsi="微软雅黑" w:eastAsia="微软雅黑" w:cs="宋体"/>
          <w:lang w:val="en-US"/>
        </w:rPr>
      </w:pPr>
      <w:r>
        <w:rPr>
          <w:rFonts w:hint="eastAsia" w:ascii="微软雅黑" w:hAnsi="微软雅黑" w:eastAsia="微软雅黑" w:cs="宋体"/>
          <w:lang w:eastAsia="zh-CN"/>
        </w:rPr>
        <w:t>现启动全国范围内网申，空中宣讲会精彩纷呈，招募海内外优秀应届学子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宋体"/>
          <w:color w:val="00B0F0"/>
          <w:lang w:val="en-US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76" w:lineRule="auto"/>
        <w:ind w:left="0" w:right="0"/>
        <w:contextualSpacing/>
        <w:textAlignment w:val="auto"/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eastAsia="zh-CN"/>
        </w:rPr>
        <w:t>一、公司简介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宇视（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uniview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），全球公共安全和智能交通的解决方案提供商，以全景、数智、物联产品技术为核心的引领者。宇视创业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8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周年（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～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年），营收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16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倍增长（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亿元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→49.4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亿元），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2018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年进入全球前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位，研发技术人员占公司总人数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50%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，在中国的杭州、深圳、西安、济南、天津、武汉设有研发机构，在桐乡有年产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1000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万台高端视频安防设备的全球智能制造基地，交付的产品方案涉及全球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145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个国家和地区。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宇视专利申请总数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2000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件，发明专利占比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83%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，每天新增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件发明专利申请，涵盖了光机电、图像处理、机器视觉、大数据、云存储等各个维度。我们每年将超过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10%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的营收投入研发，为可持续发展提供有力支撑。宇视拥有安防行业唯一的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AIoT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操作系统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IMOS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，在大数据、人工智能、物联网等领域以产品方案取得连续应用落地。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2018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年，在《大国重器》第二季，宇视以智慧城市大脑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人脸识别技术亮相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分钟，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万人海中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25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分钟找回走失老人。《大国重器Ⅱ》剧组评价：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我们一共拍摄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63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家企业，在交流和拍摄中被这家公司的员工面貌和产品气质深深打动，由衷欣赏宇视；我们不是生在一个平安的地球，而是生在一个安全的国家。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宇视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2019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年十大案例，国家托付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—70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周年国庆大阅兵、世界之最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北京大兴国际机场、智慧服务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西安国际医学中心、平安之区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杭州余杭、智慧高效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清华大学、奇迹工程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南宁地铁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号线、技术向善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海文大桥、国家命脉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印尼国家电网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PLN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、科技速递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东南亚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J&amp;T Express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、最大零售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--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美国加州宜家商场，在中国重要场景，世界更多的地区，都有宇视守护。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76" w:lineRule="auto"/>
        <w:ind w:left="0" w:right="0"/>
        <w:contextualSpacing/>
        <w:textAlignment w:val="auto"/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eastAsia="zh-CN"/>
        </w:rPr>
        <w:t>二、薪资福利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18"/>
          <w:lang w:val="en-US" w:eastAsia="zh-CN" w:bidi="ar"/>
        </w:rPr>
        <w:t>1.薪资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薪资水平在行业中具有竞争力，同时根据公司规划研究制定员工长期激励政策，在公司快速发展的同时能让全体员工受益。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"/>
        </w:rPr>
        <w:t>2.社会保险与住房公积金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根据国家规定，公司为员工办理养老、医疗、生育、失业、工伤社会保险及住房公积金。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"/>
        </w:rPr>
        <w:t>3.免息购房借款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公司为员工提供免息购房借款，帮助员工实现安居乐业，提升生活层面的幸福指数。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"/>
        </w:rPr>
        <w:t>4.商业保险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公司将额外购买人身意外伤害保险、重大疾病与疾病身故保险、海外商旅无忧保险等。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"/>
        </w:rPr>
        <w:t>5.各类假期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遵照国家法律法规，员工享受法定节假日和休息日休假，正常享有病假、事假、婚假、计划生育假、丧假等，并根据在公司的连续服务年限享受相应年休假。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"/>
        </w:rPr>
        <w:t>6.年度体检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 xml:space="preserve">公司每年为员工在当地医院安排全面正规的健康体检，并设有专职人员跟踪员工的健康情况并提供健康咨询，不定期组织健康活动，细心呵护员工健康。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1"/>
          <w:szCs w:val="21"/>
          <w:lang w:val="en-US" w:eastAsia="zh-CN" w:bidi="ar"/>
        </w:rPr>
        <w:t>7.工作餐和班车接送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240" w:lineRule="auto"/>
        <w:ind w:left="0" w:right="0"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公司内有食堂，为员工提供丰富的三餐，并在杭州配有通达全城的上下班接送车，为员工工作和生活尽可能创造便利。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1" w:line="240" w:lineRule="auto"/>
        <w:ind w:left="0" w:right="0"/>
        <w:textAlignment w:val="auto"/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eastAsia="zh-CN"/>
        </w:rPr>
        <w:t xml:space="preserve">三、招聘流程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简历投递</w:t>
      </w: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  <w:lang w:eastAsia="zh-CN"/>
        </w:rPr>
        <w:t>通过</w:t>
      </w:r>
      <w:r>
        <w:rPr>
          <w:rFonts w:hint="eastAsia" w:ascii="微软雅黑" w:hAnsi="微软雅黑" w:eastAsia="微软雅黑" w:cs="宋体"/>
          <w:b/>
          <w:bCs/>
          <w:kern w:val="0"/>
          <w:sz w:val="21"/>
          <w:szCs w:val="21"/>
          <w:lang w:eastAsia="zh-CN"/>
        </w:rPr>
        <w:t>宇视招聘官网或微信端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  <w:lang w:eastAsia="zh-CN"/>
        </w:rPr>
        <w:t>网申，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获取专属测评链接，实现自主查询进展。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公司宣讲：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  <w:lang w:eastAsia="zh-CN"/>
        </w:rPr>
        <w:t>宣讲会精彩纷呈，牛人大咖现身说法，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参与互动交流，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获取第一手信息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宋体"/>
          <w:b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在线笔试</w:t>
      </w: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简历初筛后，研发统一进行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线上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笔试，具体安排提前以邮件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短信通知。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宋体"/>
          <w:b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综合面试：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  <w:lang w:eastAsia="zh-CN"/>
        </w:rPr>
        <w:t>简历筛选及笔试通过者将参与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  <w:lang w:val="en-US" w:eastAsia="zh-CN"/>
        </w:rPr>
        <w:t>远程或现场</w:t>
      </w:r>
      <w:r>
        <w:rPr>
          <w:rFonts w:hint="eastAsia" w:ascii="微软雅黑" w:hAnsi="微软雅黑" w:eastAsia="微软雅黑" w:cs="宋体"/>
          <w:bCs/>
          <w:kern w:val="0"/>
          <w:sz w:val="21"/>
          <w:szCs w:val="21"/>
          <w:lang w:eastAsia="zh-CN"/>
        </w:rPr>
        <w:t>面试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，具体安排提前以邮件</w:t>
      </w:r>
      <w:r>
        <w:rPr>
          <w:rFonts w:hint="eastAsia" w:ascii="微软雅黑" w:hAnsi="微软雅黑" w:eastAsia="微软雅黑" w:cs="微软雅黑"/>
          <w:sz w:val="21"/>
          <w:szCs w:val="21"/>
          <w:lang w:val="en-US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短信通知。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宋体"/>
          <w:b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审批录用：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面试通过者进入录用审批环节，公司审批通过后，正式发放录用通知书。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体检签约</w:t>
      </w: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按指定要求完成基本项目体检，参加签约座谈，提交体检报告与就业协议。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300" w:lineRule="auto"/>
        <w:ind w:left="0" w:right="0"/>
        <w:textAlignment w:val="auto"/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kern w:val="0"/>
          <w:sz w:val="21"/>
          <w:szCs w:val="21"/>
          <w:lang w:eastAsia="zh-CN"/>
        </w:rPr>
        <w:t>入职报到：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结合毕业时间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公司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入职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安排，按时报到。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1" w:line="276" w:lineRule="auto"/>
        <w:ind w:left="0" w:right="0"/>
        <w:textAlignment w:val="auto"/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eastAsia="zh-CN"/>
        </w:rPr>
        <w:t xml:space="preserve">四、关注方式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312" w:afterLines="100" w:afterAutospacing="0" w:line="276" w:lineRule="auto"/>
        <w:ind w:left="0" w:right="0"/>
        <w:contextualSpacing/>
        <w:jc w:val="left"/>
        <w:textAlignment w:val="auto"/>
        <w:rPr>
          <w:rFonts w:hint="eastAsia" w:ascii="微软雅黑" w:hAnsi="微软雅黑" w:eastAsia="微软雅黑" w:cs="宋体"/>
          <w:kern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校招热线：</w:t>
      </w:r>
      <w:r>
        <w:rPr>
          <w:rFonts w:hint="eastAsia" w:ascii="微软雅黑" w:hAnsi="微软雅黑" w:eastAsia="微软雅黑" w:cs="宋体"/>
          <w:kern w:val="0"/>
          <w:sz w:val="21"/>
          <w:szCs w:val="21"/>
          <w:lang w:val="en-US"/>
        </w:rPr>
        <w:t xml:space="preserve">0571-86509003                          </w:t>
      </w: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咨询邮箱：</w:t>
      </w:r>
      <w:r>
        <w:rPr>
          <w:rFonts w:hint="eastAsia" w:ascii="微软雅黑" w:hAnsi="微软雅黑" w:eastAsia="微软雅黑" w:cs="宋体"/>
          <w:kern w:val="0"/>
          <w:sz w:val="21"/>
          <w:szCs w:val="21"/>
          <w:lang w:val="en-US"/>
        </w:rPr>
        <w:t>job@uniview.com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312" w:afterLines="100" w:afterAutospacing="0" w:line="276" w:lineRule="auto"/>
        <w:ind w:left="0" w:right="0"/>
        <w:contextualSpacing/>
        <w:jc w:val="lef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lang w:val="en-US"/>
        </w:rPr>
      </w:pP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招聘官网：</w:t>
      </w:r>
      <w:r>
        <w:rPr>
          <w:color w:val="auto"/>
          <w:sz w:val="21"/>
          <w:szCs w:val="21"/>
          <w:u w:val="none"/>
          <w:lang w:val="en-US"/>
        </w:rPr>
        <w:fldChar w:fldCharType="begin"/>
      </w:r>
      <w:r>
        <w:rPr>
          <w:color w:val="auto"/>
          <w:sz w:val="21"/>
          <w:szCs w:val="21"/>
          <w:u w:val="none"/>
          <w:lang w:val="en-US"/>
        </w:rPr>
        <w:instrText xml:space="preserve"> HYPERLINK "http://www.uniview.com/About_Us/JOB/Campus" </w:instrText>
      </w:r>
      <w:r>
        <w:rPr>
          <w:color w:val="auto"/>
          <w:sz w:val="21"/>
          <w:szCs w:val="21"/>
          <w:u w:val="none"/>
          <w:lang w:val="en-US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/>
        </w:rPr>
        <w:t>https://talent.uniview.com/</w:t>
      </w:r>
      <w:r>
        <w:rPr>
          <w:color w:val="auto"/>
          <w:sz w:val="21"/>
          <w:szCs w:val="21"/>
          <w:u w:val="none"/>
          <w:lang w:val="en-US"/>
        </w:rPr>
        <w:fldChar w:fldCharType="end"/>
      </w:r>
      <w:r>
        <w:rPr>
          <w:rFonts w:hint="eastAsia" w:ascii="微软雅黑" w:hAnsi="微软雅黑" w:eastAsia="微软雅黑" w:cs="宋体"/>
          <w:color w:val="auto"/>
          <w:kern w:val="0"/>
          <w:sz w:val="21"/>
          <w:szCs w:val="21"/>
          <w:u w:val="none"/>
          <w:lang w:val="en-US"/>
        </w:rPr>
        <w:t xml:space="preserve">  </w:t>
      </w:r>
      <w:r>
        <w:rPr>
          <w:rFonts w:hint="eastAsia" w:ascii="微软雅黑" w:hAnsi="微软雅黑" w:eastAsia="微软雅黑" w:cs="宋体"/>
          <w:kern w:val="0"/>
          <w:sz w:val="21"/>
          <w:szCs w:val="21"/>
          <w:lang w:val="en-US"/>
        </w:rPr>
        <w:t xml:space="preserve">             </w:t>
      </w:r>
      <w:r>
        <w:rPr>
          <w:rFonts w:hint="eastAsia" w:ascii="微软雅黑" w:hAnsi="微软雅黑" w:eastAsia="微软雅黑" w:cs="宋体"/>
          <w:b/>
          <w:bCs w:val="0"/>
          <w:kern w:val="0"/>
          <w:sz w:val="21"/>
          <w:szCs w:val="21"/>
          <w:lang w:eastAsia="zh-CN"/>
        </w:rPr>
        <w:t>招聘微信：</w:t>
      </w:r>
      <w:r>
        <w:rPr>
          <w:rFonts w:hint="eastAsia" w:ascii="微软雅黑" w:hAnsi="微软雅黑" w:eastAsia="微软雅黑" w:cs="宋体"/>
          <w:kern w:val="0"/>
          <w:sz w:val="21"/>
          <w:szCs w:val="21"/>
          <w:lang w:eastAsia="zh-CN"/>
        </w:rPr>
        <w:t>宇视招聘</w:t>
      </w:r>
    </w:p>
    <w:p>
      <w:pPr>
        <w:pStyle w:val="7"/>
        <w:keepNext w:val="0"/>
        <w:keepLines w:val="0"/>
        <w:widowControl/>
        <w:suppressLineNumbers w:val="0"/>
        <w:adjustRightInd w:val="0"/>
        <w:snapToGrid w:val="0"/>
        <w:spacing w:before="312" w:beforeLines="100" w:beforeAutospacing="0" w:after="312" w:afterLines="100" w:afterAutospacing="0" w:line="276" w:lineRule="auto"/>
        <w:ind w:left="0" w:right="0"/>
        <w:contextualSpacing/>
        <w:jc w:val="left"/>
        <w:rPr>
          <w:rFonts w:hint="eastAsia" w:ascii="微软雅黑" w:hAnsi="微软雅黑" w:eastAsia="微软雅黑" w:cs="微软雅黑"/>
          <w:color w:val="222222"/>
          <w:szCs w:val="21"/>
          <w:lang w:val="en-US"/>
        </w:rPr>
      </w:pPr>
      <w:r>
        <w:rPr>
          <w:rFonts w:hint="eastAsia" w:ascii="微软雅黑" w:hAnsi="微软雅黑" w:eastAsia="微软雅黑" w:cs="宋体"/>
          <w:kern w:val="0"/>
          <w:szCs w:val="21"/>
          <w:lang w:val="en-US"/>
        </w:rPr>
        <w:drawing>
          <wp:inline distT="0" distB="0" distL="114300" distR="114300">
            <wp:extent cx="951865" cy="975995"/>
            <wp:effectExtent l="0" t="0" r="635" b="14605"/>
            <wp:docPr id="1" name="图片 2" descr="宇视招聘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宇视招聘二维码 (1)"/>
                    <pic:cNvPicPr>
                      <a:picLocks noChangeAspect="1"/>
                    </pic:cNvPicPr>
                  </pic:nvPicPr>
                  <pic:blipFill>
                    <a:blip r:embed="rId6"/>
                    <a:srcRect l="5524" t="4909" r="6097" b="4909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adjustRightInd w:val="0"/>
        <w:snapToGrid w:val="0"/>
        <w:spacing w:before="312" w:beforeLines="100" w:beforeAutospacing="0" w:after="312" w:afterLines="100" w:afterAutospacing="0" w:line="276" w:lineRule="auto"/>
        <w:ind w:left="0" w:right="0"/>
        <w:contextualSpacing/>
        <w:jc w:val="left"/>
        <w:rPr>
          <w:rFonts w:hint="eastAsia" w:ascii="微软雅黑" w:hAnsi="微软雅黑" w:eastAsia="微软雅黑" w:cs="微软雅黑"/>
          <w:color w:val="222222"/>
          <w:szCs w:val="21"/>
          <w:lang w:val="en-US"/>
        </w:rPr>
      </w:pPr>
    </w:p>
    <w:p>
      <w:pPr>
        <w:pStyle w:val="7"/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276" w:lineRule="auto"/>
        <w:ind w:left="0" w:right="0"/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eastAsia="zh-CN"/>
        </w:rPr>
      </w:pPr>
      <w:r>
        <w:rPr>
          <w:rFonts w:hint="eastAsia" w:ascii="微软雅黑" w:hAnsi="微软雅黑" w:eastAsia="微软雅黑" w:cs="宋体"/>
          <w:b/>
          <w:bCs w:val="0"/>
          <w:color w:val="00B0F0"/>
          <w:kern w:val="0"/>
          <w:sz w:val="24"/>
          <w:szCs w:val="21"/>
          <w:lang w:eastAsia="zh-CN"/>
        </w:rPr>
        <w:t>附录：招聘岗位</w:t>
      </w:r>
    </w:p>
    <w:tbl>
      <w:tblPr>
        <w:tblW w:w="101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50"/>
        <w:gridCol w:w="3570"/>
        <w:gridCol w:w="4605"/>
      </w:tblGrid>
      <w:tr>
        <w:trPr>
          <w:trHeight w:val="300" w:hRule="atLeast"/>
        </w:trPr>
        <w:tc>
          <w:tcPr>
            <w:tcW w:w="6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 w:color="auto" w:fill="4BACC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研发体系</w:t>
            </w: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软件开发工程师(C/C++语言)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杭州、西安、济南、深圳、武汉、天津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软件开发工程师（JAVA）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杭州、西安、济南、武汉、天津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软件开发工程师（WEB）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杭州、西安、济南、武汉、天津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图像处理/ISP工程师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杭州、西安、济南、武汉、天津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软件测试工程师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杭州、西安、济南、深圳、武汉、天津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硬件工程师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杭州、济南、深圳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结构设计工程师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杭州、济南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部件失效分析工程师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装备开发工程师（软件）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光学工程师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认证工程师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杭州、济南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市场技术工程师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文档开发工程师（英文）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UE交互设计工程师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UI视觉设计工程师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国内市场类</w:t>
            </w: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国内市场销售经理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杭州、上海、深圳、太原、哈尔滨、天津、成都、拉萨、南宁、广州、重庆、长春、沈阳、福州、合肥、石家庄、郑州、贵阳、南京、昆明、甘肃、青海、宁夏、呼和浩特、乌鲁木齐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国内市场产品经理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杭州、北京、上海、深圳、太原、哈尔滨、武汉、成都、南宁、广州、重庆、济南、沈阳、福州、合肥、石家庄、贵阳、昆明、长沙、甘肃、青海、宁夏、乌鲁木齐、拉萨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国内市场售前解决方案工程师（北京）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国内市场品牌传播内容运营（杭州）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产品经理（雷达方向）（杭州）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产品经理（视频监控方向）（杭州）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公共安全产品部产品经理（杭州）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智能交通产品部产品经理（杭州）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招投标助理（杭州）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合作事业部产品经理(研发类)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合作事业部技术服务经理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运作管理部定价专员（杭州）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市场计划专员（国内市场）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市场计划专员（渠道）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渠道事业部产品经理（杭州）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渠道事业部技术拓展（杭州）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渠道事业部品牌视觉设计（杭州）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战略合作部销售经理（杭州）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大安防产品部区域拓展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京津冀/长三角/成都重庆/珠三角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分销拓展部销售经理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国际市场类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国际技术支持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杭州、深圳、天津、济南、海外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国际销售经理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杭州、深圳、天津、济南、海外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国际产品经理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杭州、深圳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数据分析专员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技服类</w:t>
            </w: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区域技术支持工程师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北京、上海、深圳、天津、石家庄、南京、福州、南宁、成都、武汉、兰州、西安、乌鲁木齐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50" w:type="dxa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技术支持工程师（杭州/校招）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50" w:type="dxa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海外远程技术支持工程师（西安）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50" w:type="dxa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售后服务技术工程师（杭州）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50" w:type="dxa"/>
            <w:vMerge w:val="continue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服务合作工程师（杭州）</w:t>
            </w:r>
          </w:p>
        </w:tc>
        <w:tc>
          <w:tcPr>
            <w:tcW w:w="4605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供应链类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物流工程师（嘉兴）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QE质量工程师（桐乡）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齐套计划工程师（桐乡）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TQC结构工程师（桐乡）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生产IE工程师（桐乡）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测试开发工程师（桐乡）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工装工程师（桐乡）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单板工艺工程师（桐乡）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平台IE工程师（桐乡）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SQE供应商质量管理（桐乡）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整机工艺工程师（桐乡）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测试工艺工程师（桐乡）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计划工程师（杭州）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供应链采购工程师（杭州）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生产管理工程师（桐乡）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统筹工程师（杭州）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进出口工程师（杭州）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交付管理工程师（嘉兴）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single" w:color="4BACC6" w:sz="8" w:space="0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SMT设备/工艺工程师（桐乡）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信息技术类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IT系统开发工程师（杭州）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IT系统开发工程师（济南）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济南</w:t>
            </w:r>
          </w:p>
        </w:tc>
      </w:tr>
      <w:tr>
        <w:tblPrEx>
          <w:shd w:val="clear"/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IT系统管理工程师（杭州）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IT系统管理工程师（济南）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IT网络工程师（杭州）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IT网络工程师（济南）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IT网络工程师（桐乡）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专业类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国际HRBP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人事专员（杭州）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员工关系专员（杭州）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培训专员（杭州）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部门秘书（天津研究所）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部门秘书（济南研究所）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部门秘书（研发杭州）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部门秘书（研发余杭）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杭州（余杭）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部门秘书（国际市场部）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体验营销运营经理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客户接待专员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定价及数据分析专员（校招）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PR经理（杭州）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短视频运营（杭州）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视觉设计经理（杭州）</w:t>
            </w:r>
          </w:p>
        </w:tc>
        <w:tc>
          <w:tcPr>
            <w:tcW w:w="4605" w:type="dxa"/>
            <w:tcBorders>
              <w:top w:val="nil"/>
              <w:left w:val="nil"/>
              <w:bottom w:val="single" w:color="4BACC6" w:sz="8" w:space="0"/>
              <w:right w:val="single" w:color="4BACC6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  <w:r>
      <w:drawing>
        <wp:inline distT="0" distB="0" distL="0" distR="0">
          <wp:extent cx="1062990" cy="219075"/>
          <wp:effectExtent l="0" t="0" r="3810" b="9525"/>
          <wp:docPr id="5" name="图片 4" descr="uni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univi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72" cy="2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  <w:sz w:val="20"/>
        <w:szCs w:val="20"/>
      </w:rPr>
      <w:t>宇视科技202</w:t>
    </w:r>
    <w:r>
      <w:rPr>
        <w:rFonts w:hint="eastAsia"/>
        <w:sz w:val="20"/>
        <w:szCs w:val="20"/>
        <w:lang w:val="en-US" w:eastAsia="zh-CN"/>
      </w:rPr>
      <w:t>1届</w:t>
    </w:r>
    <w:r>
      <w:rPr>
        <w:rFonts w:hint="eastAsia"/>
        <w:sz w:val="20"/>
        <w:szCs w:val="20"/>
      </w:rPr>
      <w:t>校园招聘简章</w:t>
    </w:r>
    <w:r>
      <w:ptab w:relativeTo="margin" w:alignment="right" w:leader="none"/>
    </w:r>
    <w:r>
      <w:rPr>
        <w:rFonts w:hint="eastAsia"/>
        <w:sz w:val="20"/>
        <w:szCs w:val="20"/>
      </w:rPr>
      <w:t>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7073B"/>
    <w:multiLevelType w:val="multilevel"/>
    <w:tmpl w:val="9DC7073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018318BE"/>
    <w:multiLevelType w:val="multilevel"/>
    <w:tmpl w:val="018318B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6DC"/>
    <w:rsid w:val="00FD1228"/>
    <w:rsid w:val="07612A3D"/>
    <w:rsid w:val="08B25C12"/>
    <w:rsid w:val="0A1C387C"/>
    <w:rsid w:val="12A36BE3"/>
    <w:rsid w:val="14ED6F2C"/>
    <w:rsid w:val="17D15726"/>
    <w:rsid w:val="19EE3612"/>
    <w:rsid w:val="1AB133AA"/>
    <w:rsid w:val="20FE0E3B"/>
    <w:rsid w:val="316839F7"/>
    <w:rsid w:val="3F805FDD"/>
    <w:rsid w:val="40136427"/>
    <w:rsid w:val="427D25EE"/>
    <w:rsid w:val="431342E3"/>
    <w:rsid w:val="44BA52FD"/>
    <w:rsid w:val="5436745D"/>
    <w:rsid w:val="5829757B"/>
    <w:rsid w:val="5A8D3258"/>
    <w:rsid w:val="5C8D0837"/>
    <w:rsid w:val="642423A0"/>
    <w:rsid w:val="69A730D1"/>
    <w:rsid w:val="789923AE"/>
    <w:rsid w:val="7B191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keepLines w:val="0"/>
      <w:widowControl/>
      <w:numPr>
        <w:ilvl w:val="0"/>
        <w:numId w:val="1"/>
      </w:numPr>
      <w:suppressLineNumbers w:val="0"/>
      <w:spacing w:before="240" w:beforeAutospacing="0" w:after="240" w:afterAutospacing="0"/>
      <w:ind w:left="432" w:right="0" w:hanging="432"/>
      <w:jc w:val="both"/>
      <w:outlineLvl w:val="0"/>
    </w:pPr>
    <w:rPr>
      <w:rFonts w:ascii="Arial" w:hAnsi="Arial" w:eastAsia="黑体" w:cs="Times New Roman"/>
      <w:b/>
      <w:kern w:val="0"/>
      <w:sz w:val="32"/>
      <w:szCs w:val="32"/>
      <w:lang w:val="en-US" w:eastAsia="zh-CN" w:bidi="ar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FollowedHyperlink"/>
    <w:basedOn w:val="10"/>
    <w:qFormat/>
    <w:uiPriority w:val="0"/>
    <w:rPr>
      <w:color w:val="800080"/>
      <w:u w:val="singl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3 Char"/>
    <w:basedOn w:val="10"/>
    <w:link w:val="4"/>
    <w:qFormat/>
    <w:uiPriority w:val="0"/>
    <w:rPr>
      <w:rFonts w:hint="eastAsia" w:ascii="黑体" w:hAnsi="宋体" w:eastAsia="黑体" w:cs="黑体"/>
      <w:bCs/>
      <w:kern w:val="2"/>
      <w:sz w:val="24"/>
      <w:szCs w:val="32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标题 2 Char"/>
    <w:basedOn w:val="10"/>
    <w:link w:val="3"/>
    <w:qFormat/>
    <w:uiPriority w:val="0"/>
    <w:rPr>
      <w:rFonts w:hint="default" w:ascii="Arial" w:hAnsi="Arial" w:eastAsia="黑体" w:cs="Arial"/>
      <w:sz w:val="24"/>
      <w:szCs w:val="24"/>
    </w:rPr>
  </w:style>
  <w:style w:type="character" w:customStyle="1" w:styleId="16">
    <w:name w:val="页眉 Char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8">
    <w:name w:val="标题 1 Char"/>
    <w:basedOn w:val="10"/>
    <w:link w:val="2"/>
    <w:qFormat/>
    <w:uiPriority w:val="0"/>
    <w:rPr>
      <w:rFonts w:hint="default" w:ascii="Arial" w:hAnsi="Arial" w:eastAsia="黑体" w:cs="Arial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2922</Words>
  <Characters>3169</Characters>
  <Lines>0</Lines>
  <Paragraphs>0</Paragraphs>
  <TotalTime>9</TotalTime>
  <ScaleCrop>false</ScaleCrop>
  <LinksUpToDate>false</LinksUpToDate>
  <CharactersWithSpaces>3218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y02399</dc:creator>
  <cp:lastModifiedBy>y02399</cp:lastModifiedBy>
  <dcterms:modified xsi:type="dcterms:W3CDTF">2021-03-12T06:17:28Z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