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济南城市建设集团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校园招聘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pStyle w:val="5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济南城市建设集团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济南市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市属国有企业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，主要负责城市开发、建设与经营，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主要业务范围包括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城市开发建设、工程总承包、房地产、投融资、资产运营、农业康养等六大板块。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集团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注册资本450亿元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信用评级为AAA，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国际信用评级为BBB+，2020年底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总资产突破2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00亿元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拥有员工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市委、市政府工作部署，集团高质量推进历城华山、天桥北湖、长清大学城、槐荫西客站等重点片区开发建设，顺利完成华山历史文化湿地公园、小清河综合治理、济南国际园博园、省会文化艺术中心“一院三馆”、山东国际会展中心等重点工程任务。当前，聚焦黄河流域生态保护和高质量发展战略、新旧动能转换战略，正在承建跨黄桥隧工程，实施新旧动能转换先行区安置房、市政道路等重点项目建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承接了济南科创城、济南机场二期扩建等工程。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荣获“省级文明单位”“富民兴鲁劳动奖状”“创建全国文明城市先进单位”“五一劳动奖状”“工人先锋号”“青年文明号”等荣誉。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承载城市梦想，建设美好生活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。济南城市建设集团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将牢记初心使命，践行国企担当，聚焦主责主业，勇于改革创新，坚定不移推动企业做强做大做优，努力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打造国内领先的城市建设与运营综合服务商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，在全面建设新时代现代化强省会的新征程中奋勇争先！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面向全国公开招聘全日制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硕士研究生。</w:t>
      </w:r>
    </w:p>
    <w:p>
      <w:pPr>
        <w:numPr>
          <w:ilvl w:val="0"/>
          <w:numId w:val="1"/>
        </w:numPr>
        <w:spacing w:line="600" w:lineRule="exact"/>
        <w:ind w:firstLine="64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基本条件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1、具有中华人民共和国国籍;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2、遵守宪法和法律;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3、具有良好的道德品行和适应岗位的身体条件;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4、身体健康，体貌端正，品学兼优，遵纪守法，无不良记录；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、有较好的沟通协调能力，良好的团队合作精神。</w:t>
      </w:r>
    </w:p>
    <w:p>
      <w:pPr>
        <w:pStyle w:val="6"/>
        <w:tabs>
          <w:tab w:val="left" w:pos="2555"/>
        </w:tabs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二、集团部</w:t>
      </w:r>
      <w:r>
        <w:rPr>
          <w:rFonts w:hint="eastAsia" w:ascii="黑体" w:hAnsi="黑体" w:eastAsia="黑体" w:cs="黑体"/>
          <w:lang w:val="en-US" w:eastAsia="zh-CN"/>
        </w:rPr>
        <w:t>室</w:t>
      </w:r>
      <w:r>
        <w:rPr>
          <w:rFonts w:hint="eastAsia" w:ascii="黑体" w:hAnsi="黑体" w:eastAsia="黑体" w:cs="黑体"/>
        </w:rPr>
        <w:t>招聘岗位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纪检监察岗1人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党建管理岗1人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规划策划岗1人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规划设计岗1人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资产运营管理岗1人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工程管理岗（造价方向）1人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工程管理岗1人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工程管理岗（市政方向）1人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工程管理岗（造价方向）1人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工程管理岗（安全方向）1人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造价管理岗1人</w:t>
      </w:r>
      <w:r>
        <w:rPr>
          <w:rFonts w:ascii="仿宋_GB2312" w:hAnsi="仿宋_GB2312" w:eastAsia="仿宋_GB2312" w:cs="仿宋_GB2312"/>
          <w:b/>
          <w:bCs w:val="0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  <w:t>技术管理岗(电气方向）1人。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具体招聘信息及条件要求详见附件1《济南城市建设集团部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招聘信息表》。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三、集团子公司招聘岗位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济南城建集团有限公司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济南城建集团有限公司为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建设集团所属一级企业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具有90年发展历史的国有独资大型企业，注册资本金26亿元。具有市政公用工程施工总承包特级资质和工程设计市政行业、风景园林甲级资质，同时还拥有公路、房建、水利、工程监理、工程检测、招标代理等全产业链资质。现有职工4000余人，其中大中专毕业生占90%以上，具有国家各类注册工程师1400人。下辖17个分公司、18个子公司、5个全国性区域公司和海外公司。年施工能力200亿元以上。集团承建的工程涵盖了山东、江苏、天津、福建、安徽、河北、内蒙古、新疆、四川、广东、浙江等30个省份的136个地市，并将市场拓宽至海外，经营理念和品牌形象赢得国内外社会的广泛认可。综合实力在山东省建筑业名列前茅，在市政行业细分领域居于全国龙头地位。集团建有山东省博士后实践创新基地。集团获国家发明专利及实用新型专利200余项；拥有国家级工法6项，省级工法200余项；主编工程建设国家标准、行业标准及山东省地方标准30余项；拥有国际、国内领先水平科技成果40余项。荣获华夏建设科技奖、山东省科技进步奖、全国市政行业市政工程科学技术奖等各类奖项180余项，技术创新总量位居全国同行业前列。</w:t>
      </w:r>
    </w:p>
    <w:p>
      <w:pPr>
        <w:spacing w:line="560" w:lineRule="exact"/>
        <w:ind w:firstLine="643" w:firstLineChars="200"/>
        <w:jc w:val="left"/>
        <w:rPr>
          <w:rFonts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岗位：</w:t>
      </w:r>
      <w:r>
        <w:rPr>
          <w:rFonts w:hint="eastAsia" w:ascii="仿宋_GB2312" w:hAnsi="新宋体" w:eastAsia="仿宋_GB2312" w:cs="宋体"/>
          <w:b/>
          <w:bCs/>
          <w:kern w:val="0"/>
          <w:sz w:val="32"/>
          <w:szCs w:val="32"/>
        </w:rPr>
        <w:t>市政工程师50人，检测工程师2人，设计师5人。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具体招聘信息及条件要求详见附件2《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城建集团有限公司招聘信息表》。</w:t>
      </w:r>
    </w:p>
    <w:p>
      <w:pPr>
        <w:pStyle w:val="6"/>
        <w:spacing w:line="560" w:lineRule="exact"/>
        <w:rPr>
          <w:rFonts w:hint="eastAsia" w:ascii="楷体_GB2312" w:hAnsi="楷体_GB2312" w:eastAsia="楷体_GB2312" w:cs="楷体_GB2312"/>
          <w:b/>
          <w:bCs w:val="0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Cs w:val="32"/>
        </w:rPr>
        <w:t>济南黄河路桥建设集团有限公司</w:t>
      </w:r>
    </w:p>
    <w:p>
      <w:pPr>
        <w:spacing w:line="560" w:lineRule="exact"/>
        <w:ind w:firstLine="643" w:firstLineChars="200"/>
        <w:jc w:val="left"/>
        <w:rPr>
          <w:rFonts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b/>
          <w:bCs/>
          <w:kern w:val="0"/>
          <w:sz w:val="32"/>
          <w:szCs w:val="32"/>
        </w:rPr>
        <w:t>公司</w:t>
      </w:r>
      <w:r>
        <w:rPr>
          <w:rFonts w:ascii="仿宋_GB2312" w:hAnsi="新宋体" w:eastAsia="仿宋_GB2312" w:cs="宋体"/>
          <w:b/>
          <w:bCs/>
          <w:kern w:val="0"/>
          <w:sz w:val="32"/>
          <w:szCs w:val="32"/>
        </w:rPr>
        <w:t>简介</w:t>
      </w:r>
      <w:r>
        <w:rPr>
          <w:rFonts w:ascii="仿宋_GB2312" w:hAnsi="新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济南黄河路桥建设集团有限公司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建设集团所属一级企业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注册资本6亿元，具有国家市政公用工程施工总承包双壹级资质，业务范围涉及市政、公路、园林绿化施工、市政材料供应、项目管理、监理、试验检测等业务。集团公司设有14个职能部室，下辖6个子公司，7个分公司，现有职工1500余人，年综合施工能力达70亿元。集团公司倡导科技创新理念，坚持走技术创新之路，拥有山东省企业技术中心、山东省道路胶凝材料工程技术研究中心，技术创新总量位居全国同行业前列。多年来，集团公司高标准完成了济南市经十路、二环东路、齐鲁大道、“四横六纵”快速路、华山湖、济南中央商务区、奥体片区、西客站片区等二百余项国家省市重点工程，多项工程获得“鲁班奖”、“中国市政金杯示范工程”。集团秉承“主业做强，专业做精，科学发展，防范风险”的经营理念，充分发挥国有大型施工企业人才、技术、设备、管理优势，竭诚为用户创造精品工程，提供最佳服务。</w:t>
      </w:r>
    </w:p>
    <w:p>
      <w:pPr>
        <w:spacing w:line="560" w:lineRule="exact"/>
        <w:ind w:firstLine="643" w:firstLineChars="200"/>
        <w:jc w:val="left"/>
        <w:rPr>
          <w:rFonts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b/>
          <w:bCs/>
          <w:kern w:val="0"/>
          <w:sz w:val="32"/>
          <w:szCs w:val="32"/>
        </w:rPr>
        <w:t>招聘</w:t>
      </w:r>
      <w:r>
        <w:rPr>
          <w:rFonts w:ascii="仿宋_GB2312" w:hAnsi="新宋体" w:eastAsia="仿宋_GB2312" w:cs="宋体"/>
          <w:b/>
          <w:bCs/>
          <w:kern w:val="0"/>
          <w:sz w:val="32"/>
          <w:szCs w:val="32"/>
        </w:rPr>
        <w:t>岗位：</w:t>
      </w:r>
      <w:r>
        <w:rPr>
          <w:rFonts w:hint="eastAsia" w:ascii="仿宋_GB2312" w:hAnsi="新宋体" w:eastAsia="仿宋_GB2312" w:cs="宋体"/>
          <w:b/>
          <w:bCs/>
          <w:kern w:val="0"/>
          <w:sz w:val="32"/>
          <w:szCs w:val="32"/>
        </w:rPr>
        <w:t>工程技术岗10人、设计管理岗3人、</w:t>
      </w:r>
      <w:r>
        <w:rPr>
          <w:rFonts w:ascii="仿宋_GB2312" w:hAnsi="新宋体" w:eastAsia="仿宋_GB2312" w:cs="宋体"/>
          <w:b/>
          <w:bCs/>
          <w:kern w:val="0"/>
          <w:sz w:val="32"/>
          <w:szCs w:val="32"/>
        </w:rPr>
        <w:t>BIM工程师</w:t>
      </w:r>
      <w:r>
        <w:rPr>
          <w:rFonts w:hint="eastAsia" w:ascii="仿宋_GB2312" w:hAnsi="新宋体" w:eastAsia="仿宋_GB2312" w:cs="宋体"/>
          <w:b/>
          <w:bCs/>
          <w:kern w:val="0"/>
          <w:sz w:val="32"/>
          <w:szCs w:val="32"/>
        </w:rPr>
        <w:t>2人、安全管理岗2人、材料管理岗2人、统计管理岗1人。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具体招聘信息及条件要求详见附件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《济南黄河路桥建设集团有限公司招聘信息表》。</w:t>
      </w:r>
    </w:p>
    <w:p>
      <w:pPr>
        <w:pStyle w:val="6"/>
        <w:spacing w:line="560" w:lineRule="exact"/>
        <w:ind w:firstLine="640"/>
        <w:rPr>
          <w:rFonts w:hint="eastAsia" w:ascii="楷体_GB2312" w:hAnsi="楷体_GB2312" w:eastAsia="楷体_GB2312" w:cs="楷体_GB2312"/>
          <w:b/>
          <w:bCs w:val="0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Cs w:val="32"/>
        </w:rPr>
        <w:t>济南金衢公路勘察设计研究有限公司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公司简介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济南金衢公路勘察设计研究有限公司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为济南城市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建设集团所属一级企业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成立于2001年，前身为始建于1985年的济南公路管理段设计室（后更名为“济南公路勘测设计研究院”）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下设济南公路勘察设计研究院、济南金诺公路工程监理有限公司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、山东金朝工程检测有限公司和日照分公司，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已通过质量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职业健康体系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及CMA计量</w:t>
      </w:r>
      <w:r>
        <w:rPr>
          <w:rFonts w:hint="eastAsia" w:ascii="仿宋_GB2312" w:hAnsi="宋体" w:eastAsia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国家高新技术企业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商务诚信AAA级信用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企业以及济南市职工技术创新竞赛示范企业，现有职工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240余人。公司持有工程咨询、勘察、设计、监理、检测、项目代建、招标代理、造价咨询等资质或资格，具备了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全过程工程咨询服务所需的所有资质或资格，</w:t>
      </w:r>
      <w:r>
        <w:rPr>
          <w:rFonts w:hint="eastAsia" w:ascii="仿宋_GB2312" w:hAnsi="宋体" w:eastAsia="仿宋_GB2312"/>
          <w:sz w:val="32"/>
          <w:szCs w:val="32"/>
        </w:rPr>
        <w:t>主要从事公路工程、桥梁工程、隧道工程、交通工程、市政工程、园林绿化工程、建筑工程的</w:t>
      </w:r>
      <w:r>
        <w:rPr>
          <w:rFonts w:hint="default" w:ascii="仿宋_GB2312" w:hAnsi="宋体" w:eastAsia="仿宋_GB2312"/>
          <w:sz w:val="32"/>
          <w:szCs w:val="32"/>
        </w:rPr>
        <w:t>全过程工程咨询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default" w:ascii="仿宋_GB2312" w:hAnsi="宋体" w:eastAsia="仿宋_GB2312"/>
          <w:sz w:val="32"/>
          <w:szCs w:val="32"/>
        </w:rPr>
        <w:t>勘察、</w:t>
      </w:r>
      <w:r>
        <w:rPr>
          <w:rFonts w:hint="eastAsia" w:ascii="仿宋_GB2312" w:hAnsi="宋体" w:eastAsia="仿宋_GB2312"/>
          <w:sz w:val="32"/>
          <w:szCs w:val="32"/>
        </w:rPr>
        <w:t>设计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、监理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、代建（项目管理）、检测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及咨询等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技术与管理服务工作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。先后承担了济南至青岛高速公路改扩建工程项目主体工程、济南至乐陵高速公路南延线工程、G309荣兰线济南境 ( 济南东出口-国家级样板工程 )、G220线经十西路( 济南西南门户-园博会期间的重要通道 )、S103线南二环至绕城高速 ( 济南南部山区旅游重要通道 )、G104线德州界至大桥镇( 济南北出口 )、G104京岚线济南黄河公路大桥扩建工程、S103旅游公路等一批省、市重点工程项目。</w:t>
      </w:r>
    </w:p>
    <w:p>
      <w:pPr>
        <w:spacing w:line="560" w:lineRule="exact"/>
        <w:ind w:firstLine="643" w:firstLineChars="200"/>
        <w:jc w:val="left"/>
        <w:rPr>
          <w:rFonts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岗位：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道路设计师3人、桥梁设计师3人、结构设计师2人、建筑设计师2人、给排水设计师2人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电气设计师1人、交通机电设计师1人、助理试验检测师6人。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具体招聘信息及条件要求详见附件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济南金衢公路勘察设计研究有限公司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招聘信息表》。</w:t>
      </w:r>
    </w:p>
    <w:p>
      <w:pPr>
        <w:pStyle w:val="6"/>
        <w:spacing w:line="560" w:lineRule="exact"/>
        <w:ind w:firstLine="640"/>
        <w:rPr>
          <w:rFonts w:hint="eastAsia" w:ascii="楷体_GB2312" w:hAnsi="楷体_GB2312" w:eastAsia="楷体_GB2312" w:cs="楷体_GB2312"/>
          <w:b/>
          <w:bCs w:val="0"/>
        </w:rPr>
      </w:pPr>
      <w:r>
        <w:rPr>
          <w:rFonts w:hint="eastAsia" w:ascii="楷体_GB2312" w:hAnsi="楷体_GB2312" w:eastAsia="楷体_GB2312" w:cs="楷体_GB2312"/>
          <w:b/>
          <w:bCs w:val="0"/>
          <w:szCs w:val="32"/>
        </w:rPr>
        <w:t>济南城市建设集团万融置业有限公司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公司简介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济南城市建设集团万融置业有限公司（以下简称“万融置业”）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为济南城市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集团所属一级企业，成立于2012年3月6日，拥有房地产开发二级资质，中国房地产年度卓越成就企业。所建设的住宅项目荣获中国房地产年度高品质人居典范和获得“新型具有除雪功能”专利。商业多项目荣获第一批国家优质工程奖、绿色建筑二星级和三星级认证，全国工程建设科学技术进步二等奖、优秀照明设计设计奖、LEED金级及LEED O+M铂金级双认证、山东绿色建筑创新奖等，是山东省内房地产综合实力最强的房地产企业之一。“阳光诚信、专业高效、协作包容、廉洁自律”是万融置业核心工作理念，全心全意致力于健康绿色住宅产品的开发和建设，不断满足政府、城市建设、居民的多重需求。目前总规划建筑面积约492万平方米，在建开发面积近261万平方米。下设9家子公司，包括园林、物业、商业运营、智能化、抵押担保、档案管理等板块产业。始终秉承着“国企品质人居，坚持终至美好”的精神，作为实力国企，肩负社会责任感和使命感，不忘初心，积极推动城市发展建设，以雄厚实力助力城市更新，以专业匠心筑造高品质人居，以人文情怀打造美好城市美好生活。</w:t>
      </w:r>
    </w:p>
    <w:p>
      <w:pPr>
        <w:pStyle w:val="6"/>
        <w:spacing w:line="560" w:lineRule="exact"/>
        <w:ind w:firstLine="643"/>
        <w:rPr>
          <w:rFonts w:hint="eastAsia" w:hAnsi="新宋体" w:cs="宋体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招聘岗位：建筑设计师2人、土建工程师4人、精装设计师1人、水暖工程师1人、电气工程师1人、景观工程师1人。</w:t>
      </w:r>
      <w:r>
        <w:rPr>
          <w:rFonts w:hint="eastAsia" w:hAnsi="新宋体" w:cs="宋体"/>
          <w:kern w:val="0"/>
          <w:szCs w:val="32"/>
        </w:rPr>
        <w:t>具体招聘信息及条件要求详见附5《</w:t>
      </w:r>
      <w:r>
        <w:rPr>
          <w:rFonts w:hint="eastAsia" w:ascii="黑体" w:hAnsi="黑体" w:eastAsia="黑体" w:cs="黑体"/>
          <w:bCs/>
          <w:szCs w:val="32"/>
        </w:rPr>
        <w:t>济</w:t>
      </w:r>
      <w:r>
        <w:rPr>
          <w:rFonts w:hint="eastAsia" w:hAnsi="新宋体" w:cs="宋体"/>
          <w:kern w:val="0"/>
          <w:szCs w:val="32"/>
        </w:rPr>
        <w:t>南城市建设集团万融置业有限公司招聘信息表》。</w:t>
      </w:r>
    </w:p>
    <w:p>
      <w:pPr>
        <w:spacing w:line="600" w:lineRule="exact"/>
        <w:ind w:firstLine="643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43434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报名方式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有关本次招聘信息通过济南城市建设集团官网、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各大院校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就业网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等网站公开发布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填写《应聘人员登记表》（附件6），提供个人简历、身份证、学生证、学校核发的毕业生就业推荐表、教育部学籍在线验证报告等证明材料扫描件，将以上资料文件夹发送至指定邮箱，文件名称：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姓名+应聘岗位+学校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五、报名时间</w:t>
      </w:r>
    </w:p>
    <w:p>
      <w:pPr>
        <w:spacing w:line="600" w:lineRule="exact"/>
        <w:ind w:left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自公告发布之日起，各岗位报名截止时间视报名情况而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定。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六、招聘流程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（一）发布招聘公告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（二）收集简历资格审查</w:t>
      </w:r>
    </w:p>
    <w:p>
      <w:pPr>
        <w:adjustRightInd w:val="0"/>
        <w:snapToGrid w:val="0"/>
        <w:spacing w:line="480" w:lineRule="exact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按照招聘基本条件、专业、岗位任职条件对报名人员进行资格审查，资格审查贯穿招聘工作全过程，任何环节发现资格条件不符合者，即取消应聘资格。应聘人员需服从集团岗位调剂。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（三）面谈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1、时间、地点：另行通知。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2、面谈形式：采用现场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面谈。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3、面谈范围：原则上符合条件人员均可参加面谈。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4、组织面谈：面谈成绩采取百分制计算，低于80分的不列为面试对象。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（四）面试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1、时间、地点：另行通知。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2、面试形式：采用现场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3、组织面试：面试成绩采取百分制计算。</w:t>
      </w:r>
    </w:p>
    <w:p>
      <w:pPr>
        <w:pStyle w:val="6"/>
        <w:ind w:firstLine="64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（五）材料核验</w:t>
      </w:r>
    </w:p>
    <w:p>
      <w:pPr>
        <w:pStyle w:val="6"/>
        <w:ind w:firstLine="64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审核应聘人员提报的相关材料原件。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（六）体检</w:t>
      </w:r>
    </w:p>
    <w:p>
      <w:pPr>
        <w:adjustRightInd w:val="0"/>
        <w:snapToGrid w:val="0"/>
        <w:spacing w:line="480" w:lineRule="exact"/>
        <w:ind w:firstLine="645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参照《公务员录用体检通用标准》，体检在指定医院进行，应聘人员不按规定时间、地点参加体检的，视作放弃，体检不合格者，不予录用。</w:t>
      </w:r>
    </w:p>
    <w:p>
      <w:pPr>
        <w:adjustRightInd w:val="0"/>
        <w:snapToGrid w:val="0"/>
        <w:spacing w:line="480" w:lineRule="exact"/>
        <w:ind w:firstLine="645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（七）入职</w:t>
      </w:r>
    </w:p>
    <w:p>
      <w:pPr>
        <w:adjustRightInd w:val="0"/>
        <w:snapToGrid w:val="0"/>
        <w:spacing w:line="480" w:lineRule="exact"/>
        <w:ind w:firstLine="645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办理相关入职手续。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七、其他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应聘人员限报一个岗位。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面试及录取通知将通过电话或电子邮件等方式告知，未入选者不再另行通知。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除网上报名外，我单位不接受其他任何形式的报名及电话咨询，本次招聘不收取任何费用。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时按照岗位资格条件对应聘人员进行资格审查，资格审查贯穿招聘工作全过程，应聘人员应如实填写相关信息，并作出承诺。任何环节发现资格条件不符合者或有弄虚作假行为，即取消应聘或聘用资格，入职后一旦发现，解除劳动合同。</w:t>
      </w:r>
    </w:p>
    <w:p>
      <w:pPr>
        <w:adjustRightInd w:val="0"/>
        <w:snapToGrid w:val="0"/>
        <w:spacing w:line="48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本公告未尽事宜，由济南城市建设集团负责解释。</w:t>
      </w:r>
    </w:p>
    <w:p>
      <w:pPr>
        <w:pStyle w:val="6"/>
        <w:spacing w:line="600" w:lineRule="exact"/>
        <w:ind w:firstLine="0" w:firstLineChars="0"/>
      </w:pPr>
    </w:p>
    <w:p>
      <w:pPr>
        <w:pStyle w:val="6"/>
        <w:spacing w:line="600" w:lineRule="exact"/>
        <w:ind w:firstLine="640"/>
        <w:rPr>
          <w:rFonts w:hAnsi="仿宋_GB2312" w:cs="仿宋_GB2312"/>
          <w:bCs/>
          <w:szCs w:val="32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  <w:r>
        <w:rPr>
          <w:rFonts w:hint="eastAsia"/>
        </w:rPr>
        <w:t>1、</w:t>
      </w:r>
      <w:r>
        <w:rPr>
          <w:rFonts w:hint="eastAsia" w:hAnsi="仿宋_GB2312" w:cs="仿宋_GB2312"/>
          <w:bCs/>
          <w:szCs w:val="32"/>
        </w:rPr>
        <w:t>《济南城市建设集团部</w:t>
      </w:r>
      <w:r>
        <w:rPr>
          <w:rFonts w:hint="eastAsia" w:hAnsi="仿宋_GB2312" w:cs="仿宋_GB2312"/>
          <w:bCs/>
          <w:szCs w:val="32"/>
          <w:lang w:val="en-US" w:eastAsia="zh-CN"/>
        </w:rPr>
        <w:t>室</w:t>
      </w:r>
      <w:r>
        <w:rPr>
          <w:rFonts w:hint="eastAsia" w:hAnsi="仿宋_GB2312" w:cs="仿宋_GB2312"/>
          <w:bCs/>
          <w:szCs w:val="32"/>
        </w:rPr>
        <w:t>招聘信息表》</w:t>
      </w:r>
    </w:p>
    <w:p>
      <w:pPr>
        <w:pStyle w:val="6"/>
        <w:spacing w:line="600" w:lineRule="exact"/>
        <w:ind w:firstLine="1600" w:firstLineChars="5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2、《</w:t>
      </w:r>
      <w:r>
        <w:rPr>
          <w:rFonts w:hint="eastAsia" w:hAnsi="仿宋_GB2312" w:cs="仿宋_GB2312"/>
          <w:szCs w:val="32"/>
        </w:rPr>
        <w:t>济南</w:t>
      </w:r>
      <w:r>
        <w:rPr>
          <w:rFonts w:hint="eastAsia" w:hAnsi="仿宋_GB2312" w:cs="仿宋_GB2312"/>
          <w:bCs/>
          <w:szCs w:val="32"/>
        </w:rPr>
        <w:t>城建集团有限公司招聘信息表》</w:t>
      </w:r>
    </w:p>
    <w:p>
      <w:pPr>
        <w:pStyle w:val="6"/>
        <w:spacing w:line="600" w:lineRule="exact"/>
        <w:ind w:firstLine="1600" w:firstLineChars="5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3</w:t>
      </w:r>
      <w:r>
        <w:rPr>
          <w:rFonts w:hint="eastAsia" w:hAnsi="仿宋_GB2312" w:cs="仿宋_GB2312"/>
          <w:bCs/>
          <w:szCs w:val="32"/>
          <w:lang w:eastAsia="zh-CN"/>
        </w:rPr>
        <w:t>、《</w:t>
      </w:r>
      <w:r>
        <w:rPr>
          <w:rFonts w:hint="eastAsia" w:hAnsi="新宋体" w:cs="宋体"/>
          <w:kern w:val="0"/>
          <w:szCs w:val="32"/>
        </w:rPr>
        <w:t>济南黄河路桥建设集团有限公司招聘信息表》</w:t>
      </w:r>
    </w:p>
    <w:p>
      <w:pPr>
        <w:pStyle w:val="6"/>
        <w:spacing w:line="600" w:lineRule="exact"/>
        <w:ind w:firstLine="1600" w:firstLineChars="500"/>
        <w:rPr>
          <w:rFonts w:hAnsi="仿宋_GB2312" w:cs="仿宋_GB2312"/>
          <w:bCs/>
          <w:w w:val="90"/>
          <w:szCs w:val="32"/>
        </w:rPr>
      </w:pPr>
      <w:r>
        <w:rPr>
          <w:rFonts w:hint="eastAsia" w:hAnsi="仿宋_GB2312" w:cs="仿宋_GB2312"/>
          <w:bCs/>
          <w:szCs w:val="32"/>
        </w:rPr>
        <w:t>4、</w:t>
      </w:r>
      <w:r>
        <w:rPr>
          <w:rFonts w:hint="eastAsia" w:hAnsi="仿宋_GB2312" w:cs="仿宋_GB2312"/>
          <w:bCs/>
          <w:w w:val="90"/>
          <w:szCs w:val="32"/>
          <w:lang w:eastAsia="zh-CN"/>
        </w:rPr>
        <w:t>《</w:t>
      </w:r>
      <w:r>
        <w:rPr>
          <w:rFonts w:hint="eastAsia" w:hAnsi="仿宋_GB2312" w:cs="仿宋_GB2312"/>
          <w:w w:val="90"/>
          <w:szCs w:val="32"/>
        </w:rPr>
        <w:t>济南金衢公路勘察设计研究有限公司</w:t>
      </w:r>
      <w:r>
        <w:rPr>
          <w:rFonts w:hint="eastAsia" w:hAnsi="新宋体" w:cs="宋体"/>
          <w:w w:val="90"/>
          <w:kern w:val="0"/>
          <w:szCs w:val="32"/>
        </w:rPr>
        <w:t>招聘信息表》</w:t>
      </w:r>
    </w:p>
    <w:p>
      <w:pPr>
        <w:pStyle w:val="6"/>
        <w:spacing w:line="600" w:lineRule="exact"/>
        <w:ind w:firstLine="1600" w:firstLineChars="500"/>
        <w:rPr>
          <w:rFonts w:hAnsi="仿宋_GB2312" w:cs="仿宋_GB2312"/>
          <w:bCs/>
          <w:w w:val="90"/>
          <w:szCs w:val="32"/>
        </w:rPr>
      </w:pPr>
      <w:r>
        <w:rPr>
          <w:rFonts w:hint="eastAsia" w:hAnsi="新宋体" w:cs="宋体"/>
          <w:kern w:val="0"/>
          <w:szCs w:val="32"/>
          <w:lang w:val="en-US" w:eastAsia="zh-CN"/>
        </w:rPr>
        <w:t>5、</w:t>
      </w:r>
      <w:r>
        <w:rPr>
          <w:rFonts w:hint="eastAsia" w:hAnsi="新宋体" w:cs="宋体"/>
          <w:w w:val="90"/>
          <w:kern w:val="0"/>
          <w:szCs w:val="32"/>
          <w:lang w:val="en-US" w:eastAsia="zh-CN"/>
        </w:rPr>
        <w:t>《</w:t>
      </w:r>
      <w:r>
        <w:rPr>
          <w:rFonts w:hint="eastAsia" w:hAnsi="新宋体" w:cs="宋体"/>
          <w:w w:val="90"/>
          <w:kern w:val="0"/>
          <w:szCs w:val="32"/>
        </w:rPr>
        <w:t>济南城市建设集团万融置业有限公司招聘信息表》</w:t>
      </w:r>
    </w:p>
    <w:p>
      <w:pPr>
        <w:pStyle w:val="6"/>
        <w:spacing w:line="600" w:lineRule="exact"/>
        <w:ind w:firstLine="1600" w:firstLineChars="500"/>
        <w:rPr>
          <w:rFonts w:hAnsi="仿宋_GB2312" w:cs="仿宋_GB2312"/>
          <w:bCs/>
          <w:szCs w:val="32"/>
        </w:rPr>
      </w:pPr>
      <w:r>
        <w:rPr>
          <w:rFonts w:hint="eastAsia" w:hAnsi="仿宋_GB2312" w:cs="仿宋_GB2312"/>
          <w:bCs/>
          <w:szCs w:val="32"/>
        </w:rPr>
        <w:t>6、《应聘人员登记表》</w:t>
      </w:r>
    </w:p>
    <w:p>
      <w:pPr>
        <w:pStyle w:val="6"/>
        <w:spacing w:line="600" w:lineRule="exact"/>
        <w:ind w:firstLine="640"/>
        <w:rPr>
          <w:rFonts w:hAnsi="仿宋_GB2312" w:cs="仿宋_GB2312"/>
          <w:b/>
          <w:bCs w:val="0"/>
          <w:szCs w:val="32"/>
        </w:rPr>
      </w:pPr>
      <w:r>
        <w:rPr>
          <w:rFonts w:hint="eastAsia" w:hAnsi="仿宋_GB2312" w:cs="仿宋_GB2312"/>
          <w:b/>
          <w:bCs w:val="0"/>
          <w:szCs w:val="32"/>
          <w:lang w:val="en-US" w:eastAsia="zh-CN"/>
        </w:rPr>
        <w:t>请</w:t>
      </w:r>
      <w:r>
        <w:rPr>
          <w:rFonts w:hint="eastAsia" w:hAnsi="仿宋_GB2312" w:cs="仿宋_GB2312"/>
          <w:b/>
          <w:bCs w:val="0"/>
          <w:szCs w:val="32"/>
        </w:rPr>
        <w:t>将</w:t>
      </w:r>
      <w:r>
        <w:rPr>
          <w:rFonts w:hAnsi="仿宋_GB2312" w:cs="仿宋_GB2312"/>
          <w:b/>
          <w:bCs w:val="0"/>
          <w:szCs w:val="32"/>
        </w:rPr>
        <w:t>报名</w:t>
      </w:r>
      <w:r>
        <w:rPr>
          <w:rFonts w:hint="eastAsia" w:hAnsi="仿宋_GB2312" w:cs="仿宋_GB2312"/>
          <w:b/>
          <w:bCs w:val="0"/>
          <w:szCs w:val="32"/>
        </w:rPr>
        <w:t>资料发送</w:t>
      </w:r>
      <w:r>
        <w:rPr>
          <w:rFonts w:hAnsi="仿宋_GB2312" w:cs="仿宋_GB2312"/>
          <w:b/>
          <w:bCs w:val="0"/>
          <w:szCs w:val="32"/>
        </w:rPr>
        <w:t>到各</w:t>
      </w:r>
      <w:r>
        <w:rPr>
          <w:rFonts w:hint="eastAsia" w:hAnsi="仿宋_GB2312" w:cs="仿宋_GB2312"/>
          <w:b/>
          <w:bCs w:val="0"/>
          <w:szCs w:val="32"/>
        </w:rPr>
        <w:t>报名岗位指定邮箱：</w:t>
      </w:r>
    </w:p>
    <w:p>
      <w:pPr>
        <w:pStyle w:val="6"/>
        <w:spacing w:line="600" w:lineRule="exact"/>
        <w:ind w:firstLine="640"/>
        <w:rPr>
          <w:rFonts w:hAnsi="仿宋_GB2312" w:cs="仿宋_GB2312"/>
          <w:bCs/>
          <w:szCs w:val="32"/>
        </w:rPr>
      </w:pPr>
      <w:r>
        <w:rPr>
          <w:rFonts w:hAnsi="仿宋_GB2312" w:cs="仿宋_GB2312"/>
          <w:bCs/>
          <w:szCs w:val="32"/>
        </w:rPr>
        <w:t>1</w:t>
      </w:r>
      <w:r>
        <w:rPr>
          <w:rFonts w:hint="eastAsia" w:hAnsi="仿宋_GB2312" w:cs="仿宋_GB2312"/>
          <w:bCs/>
          <w:szCs w:val="32"/>
        </w:rPr>
        <w:t>、集团</w:t>
      </w:r>
      <w:r>
        <w:rPr>
          <w:rFonts w:hAnsi="仿宋_GB2312" w:cs="仿宋_GB2312"/>
          <w:bCs/>
          <w:szCs w:val="32"/>
        </w:rPr>
        <w:t>部</w:t>
      </w:r>
      <w:r>
        <w:rPr>
          <w:rFonts w:hint="eastAsia" w:hAnsi="仿宋_GB2312" w:cs="仿宋_GB2312"/>
          <w:bCs/>
          <w:szCs w:val="32"/>
          <w:lang w:val="en-US" w:eastAsia="zh-CN"/>
        </w:rPr>
        <w:t>室</w:t>
      </w:r>
      <w:r>
        <w:rPr>
          <w:rFonts w:hint="eastAsia" w:hAnsi="仿宋_GB2312" w:cs="仿宋_GB2312"/>
          <w:bCs/>
          <w:szCs w:val="32"/>
        </w:rPr>
        <w:t>：jncsjsjthrzp@163.com</w:t>
      </w:r>
    </w:p>
    <w:p>
      <w:pPr>
        <w:pStyle w:val="6"/>
        <w:spacing w:line="600" w:lineRule="exact"/>
        <w:ind w:firstLine="640"/>
        <w:rPr>
          <w:rFonts w:hAnsi="仿宋_GB2312" w:cs="仿宋_GB2312"/>
          <w:szCs w:val="32"/>
        </w:rPr>
      </w:pPr>
      <w:r>
        <w:rPr>
          <w:rFonts w:hint="eastAsia" w:hAnsi="仿宋_GB2312" w:cs="仿宋_GB2312"/>
          <w:bCs/>
          <w:szCs w:val="32"/>
        </w:rPr>
        <w:t>2、</w:t>
      </w:r>
      <w:r>
        <w:rPr>
          <w:rFonts w:hint="eastAsia" w:hAnsi="仿宋_GB2312" w:cs="仿宋_GB2312"/>
          <w:szCs w:val="32"/>
        </w:rPr>
        <w:t>济南城建集团有限公司：</w:t>
      </w:r>
      <w:r>
        <w:fldChar w:fldCharType="begin"/>
      </w:r>
      <w:r>
        <w:instrText xml:space="preserve"> HYPERLINK "mailto:jncjhr@163.com" </w:instrText>
      </w:r>
      <w:r>
        <w:fldChar w:fldCharType="separate"/>
      </w:r>
      <w:r>
        <w:rPr>
          <w:rFonts w:hint="eastAsia" w:hAnsi="仿宋_GB2312" w:cs="仿宋_GB2312"/>
          <w:szCs w:val="32"/>
        </w:rPr>
        <w:t>jncjhr@163.com</w:t>
      </w:r>
      <w:r>
        <w:rPr>
          <w:rFonts w:hint="eastAsia" w:hAnsi="仿宋_GB2312" w:cs="仿宋_GB2312"/>
          <w:szCs w:val="32"/>
        </w:rPr>
        <w:fldChar w:fldCharType="end"/>
      </w:r>
    </w:p>
    <w:p>
      <w:pPr>
        <w:pStyle w:val="2"/>
        <w:rPr>
          <w:lang w:val="en-US"/>
        </w:rPr>
      </w:pP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济南黄河路桥建设集团有限公司</w:t>
      </w:r>
      <w:r>
        <w:rPr>
          <w:rFonts w:hint="eastAsia" w:hAnsi="新宋体" w:cs="宋体"/>
          <w:kern w:val="0"/>
          <w:szCs w:val="32"/>
          <w:lang w:val="en-US"/>
        </w:rPr>
        <w:t>：</w:t>
      </w:r>
      <w:r>
        <w:fldChar w:fldCharType="begin"/>
      </w:r>
      <w:r>
        <w:instrText xml:space="preserve"> HYPERLINK "mailto:hhlqrzb@163.com"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hhlqrzb@163.com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zh-CN" w:eastAsia="zh-CN" w:bidi="ar-SA"/>
        </w:rPr>
        <w:t>济南金衢公路勘察设计研究有限公司：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 w:bidi="ar-SA"/>
        </w:rPr>
        <w:instrText xml:space="preserve"> HYPERLINK "mailto:jqglsjhr@163.com" </w:instrTex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 w:bidi="ar-SA"/>
        </w:rPr>
        <w:t>jqglsjhr@163.com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 w:bidi="ar-SA"/>
        </w:rPr>
        <w:fldChar w:fldCharType="end"/>
      </w:r>
    </w:p>
    <w:p>
      <w:pPr>
        <w:pStyle w:val="2"/>
        <w:spacing w:line="560" w:lineRule="exact"/>
        <w:ind w:left="0" w:leftChars="0" w:firstLine="640" w:firstLineChars="200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济南城市建设集团万融置业有限公司</w:t>
      </w:r>
      <w:r>
        <w:rPr>
          <w:rFonts w:hint="eastAsia" w:hAnsi="仿宋_GB2312" w:cs="仿宋_GB2312"/>
          <w:szCs w:val="32"/>
          <w:lang w:val="en-US"/>
        </w:rPr>
        <w:t>：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xczy2020@163.com</w:t>
      </w:r>
    </w:p>
    <w:p>
      <w:pPr>
        <w:pStyle w:val="6"/>
        <w:spacing w:line="600" w:lineRule="exact"/>
        <w:ind w:firstLine="0" w:firstLineChars="0"/>
        <w:rPr>
          <w:rFonts w:hint="default" w:hAnsi="仿宋_GB2312" w:eastAsia="仿宋_GB2312" w:cs="仿宋_GB2312"/>
          <w:bCs/>
          <w:szCs w:val="32"/>
          <w:lang w:val="en-US" w:eastAsia="zh-CN"/>
        </w:rPr>
      </w:pPr>
      <w:bookmarkStart w:id="0" w:name="_GoBack"/>
      <w:bookmarkEnd w:id="0"/>
    </w:p>
    <w:p>
      <w:pPr>
        <w:pStyle w:val="6"/>
        <w:spacing w:line="600" w:lineRule="exact"/>
        <w:ind w:firstLine="0" w:firstLineChars="0"/>
        <w:rPr>
          <w:rFonts w:hint="eastAsia" w:hAnsi="仿宋_GB2312" w:cs="仿宋_GB2312"/>
          <w:b/>
          <w:bCs w:val="0"/>
          <w:szCs w:val="32"/>
        </w:rPr>
      </w:pPr>
      <w:r>
        <w:rPr>
          <w:rFonts w:hint="eastAsia" w:hAnsi="仿宋_GB2312" w:cs="仿宋_GB2312"/>
          <w:b/>
          <w:bCs w:val="0"/>
          <w:szCs w:val="32"/>
        </w:rPr>
        <w:t>济南城</w:t>
      </w:r>
      <w:r>
        <w:rPr>
          <w:rFonts w:hAnsi="仿宋_GB2312" w:cs="仿宋_GB2312"/>
          <w:b/>
          <w:bCs w:val="0"/>
          <w:szCs w:val="32"/>
        </w:rPr>
        <w:t>市</w:t>
      </w:r>
      <w:r>
        <w:rPr>
          <w:rFonts w:hint="eastAsia" w:hAnsi="仿宋_GB2312" w:cs="仿宋_GB2312"/>
          <w:b/>
          <w:bCs w:val="0"/>
          <w:szCs w:val="32"/>
        </w:rPr>
        <w:t>建设集团官网：</w:t>
      </w:r>
    </w:p>
    <w:p>
      <w:pPr>
        <w:pStyle w:val="6"/>
        <w:spacing w:line="600" w:lineRule="exact"/>
        <w:ind w:firstLine="0" w:firstLineChars="0"/>
        <w:rPr>
          <w:rFonts w:hint="eastAsia" w:hAnsi="仿宋_GB2312" w:cs="仿宋_GB2312"/>
          <w:b/>
          <w:bCs w:val="0"/>
          <w:szCs w:val="32"/>
        </w:rPr>
      </w:pPr>
      <w:r>
        <w:rPr>
          <w:rFonts w:hint="eastAsia" w:hAnsi="仿宋_GB2312" w:cs="仿宋_GB2312"/>
          <w:b/>
          <w:bCs w:val="0"/>
          <w:szCs w:val="32"/>
        </w:rPr>
        <w:t>http://www.jncsjs.com/list-44-1.html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BB06"/>
    <w:multiLevelType w:val="singleLevel"/>
    <w:tmpl w:val="4BD1B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50A9F"/>
    <w:rsid w:val="000A0B1E"/>
    <w:rsid w:val="000D2B1B"/>
    <w:rsid w:val="000F497F"/>
    <w:rsid w:val="00101ABE"/>
    <w:rsid w:val="00121D10"/>
    <w:rsid w:val="00144EAA"/>
    <w:rsid w:val="00172065"/>
    <w:rsid w:val="001766AC"/>
    <w:rsid w:val="001A087A"/>
    <w:rsid w:val="001A758B"/>
    <w:rsid w:val="001C565D"/>
    <w:rsid w:val="00206FF9"/>
    <w:rsid w:val="00247A12"/>
    <w:rsid w:val="002C4F17"/>
    <w:rsid w:val="002D482C"/>
    <w:rsid w:val="002F2738"/>
    <w:rsid w:val="003202D4"/>
    <w:rsid w:val="00337F9F"/>
    <w:rsid w:val="00344A5C"/>
    <w:rsid w:val="003750E5"/>
    <w:rsid w:val="0039306C"/>
    <w:rsid w:val="003A144E"/>
    <w:rsid w:val="003C2A6D"/>
    <w:rsid w:val="003D0A94"/>
    <w:rsid w:val="00426F58"/>
    <w:rsid w:val="00490CF7"/>
    <w:rsid w:val="004C6F72"/>
    <w:rsid w:val="004E72F1"/>
    <w:rsid w:val="00510043"/>
    <w:rsid w:val="005530B9"/>
    <w:rsid w:val="005B561D"/>
    <w:rsid w:val="005C1272"/>
    <w:rsid w:val="005D21A7"/>
    <w:rsid w:val="005D6134"/>
    <w:rsid w:val="005F040B"/>
    <w:rsid w:val="00613189"/>
    <w:rsid w:val="00643CA3"/>
    <w:rsid w:val="00652CC6"/>
    <w:rsid w:val="0067169D"/>
    <w:rsid w:val="00705434"/>
    <w:rsid w:val="007067A5"/>
    <w:rsid w:val="00755B97"/>
    <w:rsid w:val="00775F2F"/>
    <w:rsid w:val="00792D41"/>
    <w:rsid w:val="00793022"/>
    <w:rsid w:val="007A0CB6"/>
    <w:rsid w:val="007A5171"/>
    <w:rsid w:val="00832522"/>
    <w:rsid w:val="0085207D"/>
    <w:rsid w:val="00874920"/>
    <w:rsid w:val="00877632"/>
    <w:rsid w:val="008872F4"/>
    <w:rsid w:val="008A3D3D"/>
    <w:rsid w:val="008C0D0D"/>
    <w:rsid w:val="0090278D"/>
    <w:rsid w:val="009315CA"/>
    <w:rsid w:val="00982E5E"/>
    <w:rsid w:val="009900AA"/>
    <w:rsid w:val="009A1D7F"/>
    <w:rsid w:val="009A262D"/>
    <w:rsid w:val="009E67A9"/>
    <w:rsid w:val="009F68F8"/>
    <w:rsid w:val="00A038BB"/>
    <w:rsid w:val="00A54536"/>
    <w:rsid w:val="00AA1040"/>
    <w:rsid w:val="00AB60FD"/>
    <w:rsid w:val="00B17C96"/>
    <w:rsid w:val="00B2512A"/>
    <w:rsid w:val="00B61676"/>
    <w:rsid w:val="00BB7C9D"/>
    <w:rsid w:val="00BF548A"/>
    <w:rsid w:val="00C209A3"/>
    <w:rsid w:val="00C75121"/>
    <w:rsid w:val="00C843CD"/>
    <w:rsid w:val="00CD237F"/>
    <w:rsid w:val="00D643D2"/>
    <w:rsid w:val="00E1742F"/>
    <w:rsid w:val="00E22F02"/>
    <w:rsid w:val="00E72B35"/>
    <w:rsid w:val="00E85E19"/>
    <w:rsid w:val="00EC2C35"/>
    <w:rsid w:val="00F00B4B"/>
    <w:rsid w:val="00F042DF"/>
    <w:rsid w:val="00F62F64"/>
    <w:rsid w:val="00F71152"/>
    <w:rsid w:val="00F80580"/>
    <w:rsid w:val="00F92A8E"/>
    <w:rsid w:val="00FA1B69"/>
    <w:rsid w:val="00FA7B68"/>
    <w:rsid w:val="00FB2E7F"/>
    <w:rsid w:val="00FB4F78"/>
    <w:rsid w:val="00FF57B9"/>
    <w:rsid w:val="00FF78D2"/>
    <w:rsid w:val="010D1F21"/>
    <w:rsid w:val="0173341C"/>
    <w:rsid w:val="018E37B9"/>
    <w:rsid w:val="01C93BD9"/>
    <w:rsid w:val="029352AB"/>
    <w:rsid w:val="02E14078"/>
    <w:rsid w:val="02E61948"/>
    <w:rsid w:val="03123A8C"/>
    <w:rsid w:val="031946DE"/>
    <w:rsid w:val="035201D3"/>
    <w:rsid w:val="03E34129"/>
    <w:rsid w:val="041A10AC"/>
    <w:rsid w:val="048D49B4"/>
    <w:rsid w:val="04A92992"/>
    <w:rsid w:val="04B464F2"/>
    <w:rsid w:val="04F74166"/>
    <w:rsid w:val="05D74E03"/>
    <w:rsid w:val="06095B81"/>
    <w:rsid w:val="06C86A7D"/>
    <w:rsid w:val="06DE090F"/>
    <w:rsid w:val="071A16F0"/>
    <w:rsid w:val="08154C26"/>
    <w:rsid w:val="0816345C"/>
    <w:rsid w:val="085641E4"/>
    <w:rsid w:val="08EB4153"/>
    <w:rsid w:val="094026A6"/>
    <w:rsid w:val="094313E0"/>
    <w:rsid w:val="097A2C4C"/>
    <w:rsid w:val="09977C4B"/>
    <w:rsid w:val="09B63668"/>
    <w:rsid w:val="09CC1C63"/>
    <w:rsid w:val="09EF091D"/>
    <w:rsid w:val="0A704BCA"/>
    <w:rsid w:val="0A880ECA"/>
    <w:rsid w:val="0B815981"/>
    <w:rsid w:val="0BC91F3E"/>
    <w:rsid w:val="0BF03FE9"/>
    <w:rsid w:val="0C0F6699"/>
    <w:rsid w:val="0C652B9C"/>
    <w:rsid w:val="0D385DA6"/>
    <w:rsid w:val="0D9C0ECB"/>
    <w:rsid w:val="0D9F3D9E"/>
    <w:rsid w:val="0E3C3856"/>
    <w:rsid w:val="0E4C2540"/>
    <w:rsid w:val="0E80474F"/>
    <w:rsid w:val="0F386EDC"/>
    <w:rsid w:val="0F495120"/>
    <w:rsid w:val="0F9A0F59"/>
    <w:rsid w:val="0FF2583C"/>
    <w:rsid w:val="0FFE4521"/>
    <w:rsid w:val="10400D9E"/>
    <w:rsid w:val="104F69FF"/>
    <w:rsid w:val="115744E4"/>
    <w:rsid w:val="11A9054D"/>
    <w:rsid w:val="11E279F5"/>
    <w:rsid w:val="11F1425E"/>
    <w:rsid w:val="12B545BD"/>
    <w:rsid w:val="12D66B0F"/>
    <w:rsid w:val="12E2390C"/>
    <w:rsid w:val="12F9379A"/>
    <w:rsid w:val="12FE02B5"/>
    <w:rsid w:val="137C4A5B"/>
    <w:rsid w:val="137F167C"/>
    <w:rsid w:val="13A501F6"/>
    <w:rsid w:val="13D11CBE"/>
    <w:rsid w:val="1478289D"/>
    <w:rsid w:val="14A7609E"/>
    <w:rsid w:val="14B6256A"/>
    <w:rsid w:val="151B1241"/>
    <w:rsid w:val="152D61D7"/>
    <w:rsid w:val="153030A7"/>
    <w:rsid w:val="155249ED"/>
    <w:rsid w:val="15F1301E"/>
    <w:rsid w:val="1621268B"/>
    <w:rsid w:val="166A034E"/>
    <w:rsid w:val="16865D8A"/>
    <w:rsid w:val="16E7156A"/>
    <w:rsid w:val="176144B6"/>
    <w:rsid w:val="17792C9A"/>
    <w:rsid w:val="17845E59"/>
    <w:rsid w:val="17D43465"/>
    <w:rsid w:val="18866EDA"/>
    <w:rsid w:val="18C80A91"/>
    <w:rsid w:val="19305F0B"/>
    <w:rsid w:val="195802D5"/>
    <w:rsid w:val="19D47D6C"/>
    <w:rsid w:val="19E1620B"/>
    <w:rsid w:val="19F905CA"/>
    <w:rsid w:val="19FA6580"/>
    <w:rsid w:val="1A6E5E8B"/>
    <w:rsid w:val="1A735960"/>
    <w:rsid w:val="1A7A76D0"/>
    <w:rsid w:val="1A8438EF"/>
    <w:rsid w:val="1A9911C4"/>
    <w:rsid w:val="1B717DBF"/>
    <w:rsid w:val="1BA01320"/>
    <w:rsid w:val="1BC523A7"/>
    <w:rsid w:val="1BEA11C9"/>
    <w:rsid w:val="1C0E2930"/>
    <w:rsid w:val="1C1E669E"/>
    <w:rsid w:val="1C503D40"/>
    <w:rsid w:val="1C732D81"/>
    <w:rsid w:val="1D69708B"/>
    <w:rsid w:val="1D8B2660"/>
    <w:rsid w:val="1DA20931"/>
    <w:rsid w:val="1DAC016A"/>
    <w:rsid w:val="1E332FA4"/>
    <w:rsid w:val="1EBB1B6E"/>
    <w:rsid w:val="1F12730B"/>
    <w:rsid w:val="1F747023"/>
    <w:rsid w:val="1F9F780E"/>
    <w:rsid w:val="1FCF1187"/>
    <w:rsid w:val="1FEF44C8"/>
    <w:rsid w:val="20406AEF"/>
    <w:rsid w:val="2055029A"/>
    <w:rsid w:val="20AF0924"/>
    <w:rsid w:val="21246B1B"/>
    <w:rsid w:val="218F2E27"/>
    <w:rsid w:val="22906CC6"/>
    <w:rsid w:val="22CA73EB"/>
    <w:rsid w:val="22F35109"/>
    <w:rsid w:val="2301075D"/>
    <w:rsid w:val="232014D2"/>
    <w:rsid w:val="23201CAB"/>
    <w:rsid w:val="23406075"/>
    <w:rsid w:val="239559B6"/>
    <w:rsid w:val="23D94357"/>
    <w:rsid w:val="24263CBC"/>
    <w:rsid w:val="243C325E"/>
    <w:rsid w:val="246E69BA"/>
    <w:rsid w:val="248D09CB"/>
    <w:rsid w:val="24B45BC6"/>
    <w:rsid w:val="25117CCB"/>
    <w:rsid w:val="252F3588"/>
    <w:rsid w:val="257A4C24"/>
    <w:rsid w:val="25950B61"/>
    <w:rsid w:val="260C3BBF"/>
    <w:rsid w:val="26264B30"/>
    <w:rsid w:val="262D47E9"/>
    <w:rsid w:val="26956627"/>
    <w:rsid w:val="26A85A21"/>
    <w:rsid w:val="26B700E1"/>
    <w:rsid w:val="273612EE"/>
    <w:rsid w:val="274E2D73"/>
    <w:rsid w:val="276B5C5D"/>
    <w:rsid w:val="27BD2AEC"/>
    <w:rsid w:val="27D85411"/>
    <w:rsid w:val="27F44DEA"/>
    <w:rsid w:val="28052A84"/>
    <w:rsid w:val="28231C80"/>
    <w:rsid w:val="286F216C"/>
    <w:rsid w:val="28A828BE"/>
    <w:rsid w:val="290655F1"/>
    <w:rsid w:val="2933624C"/>
    <w:rsid w:val="2A0257CC"/>
    <w:rsid w:val="2AA24D64"/>
    <w:rsid w:val="2B873E19"/>
    <w:rsid w:val="2BB02DF0"/>
    <w:rsid w:val="2BB20797"/>
    <w:rsid w:val="2BC91181"/>
    <w:rsid w:val="2BE36509"/>
    <w:rsid w:val="2BE74C33"/>
    <w:rsid w:val="2C2C7198"/>
    <w:rsid w:val="2CB85C5F"/>
    <w:rsid w:val="2CC17621"/>
    <w:rsid w:val="2D634DFF"/>
    <w:rsid w:val="2DCF58EA"/>
    <w:rsid w:val="2DF27C55"/>
    <w:rsid w:val="2E3437FC"/>
    <w:rsid w:val="2E8C7D31"/>
    <w:rsid w:val="2EB65E73"/>
    <w:rsid w:val="2EEF301D"/>
    <w:rsid w:val="2F733AB4"/>
    <w:rsid w:val="2FD30CE2"/>
    <w:rsid w:val="2FFE5894"/>
    <w:rsid w:val="2FFF544C"/>
    <w:rsid w:val="30CB2A12"/>
    <w:rsid w:val="30FB4DA8"/>
    <w:rsid w:val="31932330"/>
    <w:rsid w:val="322A101B"/>
    <w:rsid w:val="328A436B"/>
    <w:rsid w:val="32AC02F5"/>
    <w:rsid w:val="32C865C8"/>
    <w:rsid w:val="32D5206C"/>
    <w:rsid w:val="33375304"/>
    <w:rsid w:val="33655CE9"/>
    <w:rsid w:val="33736C66"/>
    <w:rsid w:val="33AB253C"/>
    <w:rsid w:val="33F61AA0"/>
    <w:rsid w:val="33FA0BBF"/>
    <w:rsid w:val="34151E03"/>
    <w:rsid w:val="341A060A"/>
    <w:rsid w:val="34E96CB1"/>
    <w:rsid w:val="35570528"/>
    <w:rsid w:val="36C562D9"/>
    <w:rsid w:val="36DC36D5"/>
    <w:rsid w:val="37073B9E"/>
    <w:rsid w:val="370B3C4B"/>
    <w:rsid w:val="379D1B74"/>
    <w:rsid w:val="37C97692"/>
    <w:rsid w:val="387546B0"/>
    <w:rsid w:val="38C90260"/>
    <w:rsid w:val="38DA6536"/>
    <w:rsid w:val="390F2F29"/>
    <w:rsid w:val="39571542"/>
    <w:rsid w:val="39D6360D"/>
    <w:rsid w:val="39E71FCE"/>
    <w:rsid w:val="3AFC5FBF"/>
    <w:rsid w:val="3B637BFF"/>
    <w:rsid w:val="3C184B44"/>
    <w:rsid w:val="3C2F0229"/>
    <w:rsid w:val="3C90223C"/>
    <w:rsid w:val="3CBA52B3"/>
    <w:rsid w:val="3D0E56DF"/>
    <w:rsid w:val="3D3C526E"/>
    <w:rsid w:val="3D693340"/>
    <w:rsid w:val="3D740D05"/>
    <w:rsid w:val="3DA45F76"/>
    <w:rsid w:val="3E6D118E"/>
    <w:rsid w:val="3E963755"/>
    <w:rsid w:val="3E977F53"/>
    <w:rsid w:val="3F7911B4"/>
    <w:rsid w:val="3F8C62BE"/>
    <w:rsid w:val="408C7ED6"/>
    <w:rsid w:val="40CB4A9B"/>
    <w:rsid w:val="4188626B"/>
    <w:rsid w:val="41911F81"/>
    <w:rsid w:val="41957754"/>
    <w:rsid w:val="423F78B3"/>
    <w:rsid w:val="42521775"/>
    <w:rsid w:val="428C5C2E"/>
    <w:rsid w:val="429A2D9F"/>
    <w:rsid w:val="43462E22"/>
    <w:rsid w:val="434D30EB"/>
    <w:rsid w:val="43553343"/>
    <w:rsid w:val="437C5D66"/>
    <w:rsid w:val="43AD3503"/>
    <w:rsid w:val="440C3C36"/>
    <w:rsid w:val="44167E29"/>
    <w:rsid w:val="44501154"/>
    <w:rsid w:val="44C91F08"/>
    <w:rsid w:val="44F44BB2"/>
    <w:rsid w:val="4524606B"/>
    <w:rsid w:val="45D41F00"/>
    <w:rsid w:val="45FC642A"/>
    <w:rsid w:val="460A3525"/>
    <w:rsid w:val="46531015"/>
    <w:rsid w:val="4786564E"/>
    <w:rsid w:val="47A50A9F"/>
    <w:rsid w:val="47E077AD"/>
    <w:rsid w:val="47E326B4"/>
    <w:rsid w:val="4843757A"/>
    <w:rsid w:val="488975E7"/>
    <w:rsid w:val="488F261E"/>
    <w:rsid w:val="48EA4D3E"/>
    <w:rsid w:val="48F81DF3"/>
    <w:rsid w:val="490C2EE6"/>
    <w:rsid w:val="492B4820"/>
    <w:rsid w:val="493E0F09"/>
    <w:rsid w:val="495C067D"/>
    <w:rsid w:val="4962129B"/>
    <w:rsid w:val="496C346B"/>
    <w:rsid w:val="497F041B"/>
    <w:rsid w:val="49B545B3"/>
    <w:rsid w:val="49C8030C"/>
    <w:rsid w:val="4A3C31EB"/>
    <w:rsid w:val="4A875171"/>
    <w:rsid w:val="4A8B548C"/>
    <w:rsid w:val="4B7E6CE1"/>
    <w:rsid w:val="4BA2355B"/>
    <w:rsid w:val="4BF70FA1"/>
    <w:rsid w:val="4C1F24B7"/>
    <w:rsid w:val="4D114FF8"/>
    <w:rsid w:val="4D713B33"/>
    <w:rsid w:val="4DD47B99"/>
    <w:rsid w:val="4E2A1BD1"/>
    <w:rsid w:val="4E3B72FE"/>
    <w:rsid w:val="4E6D601D"/>
    <w:rsid w:val="4E997D34"/>
    <w:rsid w:val="4EA33A37"/>
    <w:rsid w:val="4EED624D"/>
    <w:rsid w:val="4EF56DFD"/>
    <w:rsid w:val="4F5D3A73"/>
    <w:rsid w:val="4F924B28"/>
    <w:rsid w:val="50E35111"/>
    <w:rsid w:val="51070D5A"/>
    <w:rsid w:val="513B5746"/>
    <w:rsid w:val="52313B4B"/>
    <w:rsid w:val="525A0A74"/>
    <w:rsid w:val="528138FB"/>
    <w:rsid w:val="52930873"/>
    <w:rsid w:val="52C6483A"/>
    <w:rsid w:val="52E008E9"/>
    <w:rsid w:val="533A6CC4"/>
    <w:rsid w:val="534A4515"/>
    <w:rsid w:val="537A0199"/>
    <w:rsid w:val="53AF7909"/>
    <w:rsid w:val="53F02AD8"/>
    <w:rsid w:val="53F57C32"/>
    <w:rsid w:val="53F6176F"/>
    <w:rsid w:val="54EA5867"/>
    <w:rsid w:val="55C156D8"/>
    <w:rsid w:val="55D41965"/>
    <w:rsid w:val="55DE50A0"/>
    <w:rsid w:val="55DF2C65"/>
    <w:rsid w:val="56062071"/>
    <w:rsid w:val="56A26B8A"/>
    <w:rsid w:val="57A94C13"/>
    <w:rsid w:val="5871658B"/>
    <w:rsid w:val="59206EB5"/>
    <w:rsid w:val="59883541"/>
    <w:rsid w:val="598C3363"/>
    <w:rsid w:val="599B72D6"/>
    <w:rsid w:val="59DE2150"/>
    <w:rsid w:val="5A171CA2"/>
    <w:rsid w:val="5AA0439C"/>
    <w:rsid w:val="5B570B13"/>
    <w:rsid w:val="5B83641B"/>
    <w:rsid w:val="5BCB06FE"/>
    <w:rsid w:val="5BE509DA"/>
    <w:rsid w:val="5BEB7895"/>
    <w:rsid w:val="5BF341BE"/>
    <w:rsid w:val="5C754628"/>
    <w:rsid w:val="5CC12BEC"/>
    <w:rsid w:val="5CCD3B7D"/>
    <w:rsid w:val="5D234497"/>
    <w:rsid w:val="5D342E4A"/>
    <w:rsid w:val="5D4A4F70"/>
    <w:rsid w:val="5DA5380F"/>
    <w:rsid w:val="5DC50CD5"/>
    <w:rsid w:val="5E1C41AE"/>
    <w:rsid w:val="5E2E00B8"/>
    <w:rsid w:val="5E5248A2"/>
    <w:rsid w:val="5F0863CB"/>
    <w:rsid w:val="5F460DB7"/>
    <w:rsid w:val="5F466766"/>
    <w:rsid w:val="5F564C2F"/>
    <w:rsid w:val="5F9A406B"/>
    <w:rsid w:val="5F9D031C"/>
    <w:rsid w:val="5FC9672E"/>
    <w:rsid w:val="5FD65EA5"/>
    <w:rsid w:val="5FDD1549"/>
    <w:rsid w:val="6030080A"/>
    <w:rsid w:val="6056376F"/>
    <w:rsid w:val="61047CF6"/>
    <w:rsid w:val="61465CC4"/>
    <w:rsid w:val="617435B4"/>
    <w:rsid w:val="61D61F22"/>
    <w:rsid w:val="62463B5B"/>
    <w:rsid w:val="62CB4563"/>
    <w:rsid w:val="62FC5BB4"/>
    <w:rsid w:val="630E37AB"/>
    <w:rsid w:val="63127F2B"/>
    <w:rsid w:val="632770A6"/>
    <w:rsid w:val="63824515"/>
    <w:rsid w:val="638268A7"/>
    <w:rsid w:val="638B433C"/>
    <w:rsid w:val="63DA7F11"/>
    <w:rsid w:val="63F8663A"/>
    <w:rsid w:val="640B2980"/>
    <w:rsid w:val="643A608D"/>
    <w:rsid w:val="64A8600F"/>
    <w:rsid w:val="64BF2101"/>
    <w:rsid w:val="65695290"/>
    <w:rsid w:val="659372CD"/>
    <w:rsid w:val="65A01DB9"/>
    <w:rsid w:val="66645B36"/>
    <w:rsid w:val="668D5010"/>
    <w:rsid w:val="66A05FA0"/>
    <w:rsid w:val="67874AA8"/>
    <w:rsid w:val="679530C8"/>
    <w:rsid w:val="682377F3"/>
    <w:rsid w:val="68380E29"/>
    <w:rsid w:val="68A23E72"/>
    <w:rsid w:val="69D00756"/>
    <w:rsid w:val="69DE4EE7"/>
    <w:rsid w:val="6A45044B"/>
    <w:rsid w:val="6A4D3AF3"/>
    <w:rsid w:val="6A5A78C5"/>
    <w:rsid w:val="6A974CF3"/>
    <w:rsid w:val="6A9C097E"/>
    <w:rsid w:val="6AA036D6"/>
    <w:rsid w:val="6AA1310A"/>
    <w:rsid w:val="6B5B7D67"/>
    <w:rsid w:val="6BDE00F5"/>
    <w:rsid w:val="6D001331"/>
    <w:rsid w:val="6D29151D"/>
    <w:rsid w:val="6D3B30B8"/>
    <w:rsid w:val="6D754956"/>
    <w:rsid w:val="6DA10048"/>
    <w:rsid w:val="6DE737D1"/>
    <w:rsid w:val="6DEF46BD"/>
    <w:rsid w:val="6DF04321"/>
    <w:rsid w:val="6E283801"/>
    <w:rsid w:val="6E2A25FC"/>
    <w:rsid w:val="6E6525FE"/>
    <w:rsid w:val="6E667B8A"/>
    <w:rsid w:val="6EA07EA7"/>
    <w:rsid w:val="6F0710AF"/>
    <w:rsid w:val="6FAC3FA3"/>
    <w:rsid w:val="6FC86C70"/>
    <w:rsid w:val="6FD6523D"/>
    <w:rsid w:val="70066693"/>
    <w:rsid w:val="70096B4F"/>
    <w:rsid w:val="70110FBB"/>
    <w:rsid w:val="701F1081"/>
    <w:rsid w:val="703D683F"/>
    <w:rsid w:val="709522B7"/>
    <w:rsid w:val="717D16A1"/>
    <w:rsid w:val="718845E6"/>
    <w:rsid w:val="71AB2674"/>
    <w:rsid w:val="71C36FD5"/>
    <w:rsid w:val="722817FC"/>
    <w:rsid w:val="72364F74"/>
    <w:rsid w:val="729E41F7"/>
    <w:rsid w:val="734647D7"/>
    <w:rsid w:val="736D7644"/>
    <w:rsid w:val="73D11621"/>
    <w:rsid w:val="740660DB"/>
    <w:rsid w:val="74355EDB"/>
    <w:rsid w:val="745B7A11"/>
    <w:rsid w:val="749E7741"/>
    <w:rsid w:val="74BF2CF7"/>
    <w:rsid w:val="74D47D42"/>
    <w:rsid w:val="74EC52F9"/>
    <w:rsid w:val="75497C3B"/>
    <w:rsid w:val="755B5F70"/>
    <w:rsid w:val="757F798F"/>
    <w:rsid w:val="758709E6"/>
    <w:rsid w:val="75DF2948"/>
    <w:rsid w:val="75EE226F"/>
    <w:rsid w:val="75F45839"/>
    <w:rsid w:val="76382E63"/>
    <w:rsid w:val="76AE7266"/>
    <w:rsid w:val="77261BFF"/>
    <w:rsid w:val="773E6636"/>
    <w:rsid w:val="777C1B76"/>
    <w:rsid w:val="77C16141"/>
    <w:rsid w:val="77DA4BB2"/>
    <w:rsid w:val="784D361D"/>
    <w:rsid w:val="788A6502"/>
    <w:rsid w:val="78A5264E"/>
    <w:rsid w:val="78B70DE6"/>
    <w:rsid w:val="78C81B39"/>
    <w:rsid w:val="79127C59"/>
    <w:rsid w:val="795916E1"/>
    <w:rsid w:val="7A2267A6"/>
    <w:rsid w:val="7A6349C9"/>
    <w:rsid w:val="7A784285"/>
    <w:rsid w:val="7AB0169B"/>
    <w:rsid w:val="7AE93CA1"/>
    <w:rsid w:val="7B154275"/>
    <w:rsid w:val="7B7E1051"/>
    <w:rsid w:val="7B8C1C40"/>
    <w:rsid w:val="7C4B1A86"/>
    <w:rsid w:val="7C9B790D"/>
    <w:rsid w:val="7CB85437"/>
    <w:rsid w:val="7CEF11AB"/>
    <w:rsid w:val="7D2212E7"/>
    <w:rsid w:val="7D2D764C"/>
    <w:rsid w:val="7D465D89"/>
    <w:rsid w:val="7DA247F9"/>
    <w:rsid w:val="7E091B24"/>
    <w:rsid w:val="7E1245EE"/>
    <w:rsid w:val="7E1729B2"/>
    <w:rsid w:val="7E6D0B95"/>
    <w:rsid w:val="7E7A177E"/>
    <w:rsid w:val="7EEA7C34"/>
    <w:rsid w:val="7EF5213D"/>
    <w:rsid w:val="7F7460C1"/>
    <w:rsid w:val="7F8F6F35"/>
    <w:rsid w:val="7FA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 w:hAnsi="Calibri" w:eastAsia="仿宋_GB2312"/>
      <w:sz w:val="32"/>
      <w:szCs w:val="20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661</Words>
  <Characters>3771</Characters>
  <Lines>31</Lines>
  <Paragraphs>8</Paragraphs>
  <TotalTime>529</TotalTime>
  <ScaleCrop>false</ScaleCrop>
  <LinksUpToDate>false</LinksUpToDate>
  <CharactersWithSpaces>4424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2020-04-09T03:41:00Z</dcterms:created>
  <dc:creator>Administrator</dc:creator>
  <cp:lastModifiedBy>Sxly--Harrison</cp:lastModifiedBy>
  <dcterms:modified xsi:type="dcterms:W3CDTF">2021-02-19T02:57:50Z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