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ascii="微软雅黑" w:hAnsi="微软雅黑" w:eastAsia="微软雅黑" w:cs="微软雅黑"/>
          <w:color w:val="000000"/>
          <w:sz w:val="36"/>
          <w:szCs w:val="36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Hans"/>
        </w:rPr>
        <w:t>创造京彩</w:t>
      </w:r>
      <w:r>
        <w:rPr>
          <w:rFonts w:hint="default" w:ascii="微软雅黑" w:hAnsi="微软雅黑" w:eastAsia="微软雅黑" w:cs="微软雅黑"/>
          <w:color w:val="000000"/>
          <w:sz w:val="36"/>
          <w:szCs w:val="36"/>
          <w:lang w:eastAsia="zh-Hans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Hans"/>
        </w:rPr>
        <w:t>博出未来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Hans"/>
        </w:rPr>
        <w:t>京博石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化</w:t>
      </w:r>
      <w:r>
        <w:rPr>
          <w:rFonts w:hint="default" w:ascii="微软雅黑" w:hAnsi="微软雅黑" w:eastAsia="微软雅黑" w:cs="微软雅黑"/>
          <w:color w:val="000000"/>
          <w:sz w:val="36"/>
          <w:szCs w:val="36"/>
          <w:lang w:eastAsia="zh-Hans"/>
        </w:rPr>
        <w:t>2021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  <w:t>“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觅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  <w:t>”</w:t>
      </w:r>
      <w:r>
        <w:rPr>
          <w:rFonts w:ascii="微软雅黑" w:hAnsi="微软雅黑" w:eastAsia="微软雅黑" w:cs="微软雅黑"/>
          <w:color w:val="000000"/>
          <w:sz w:val="36"/>
          <w:szCs w:val="36"/>
        </w:rPr>
        <w:t>蜂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Hans"/>
        </w:rPr>
        <w:t>计划</w:t>
      </w:r>
      <w:bookmarkStart w:id="0" w:name="_GoBack"/>
      <w:bookmarkEnd w:id="0"/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0" w:leftChars="0"/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  <w:t>一</w:t>
      </w:r>
      <w:r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、关于我们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</w:rPr>
        <w:t>山东京博控股集团有限公司（简称：京博）是中国500强企业，是一家面向终端和社会提供能源、新材料、三农发展、物流等产品、技术、服务和系统解决方案的现代化企业集团，先后为中国、美国、俄罗斯、日本、新加坡、澳大利亚、南非、中东等国家和地区的客户和夥伴带来价值和服务。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</w:rPr>
        <w:t>2019年公司实现销售收入608亿元。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山东京博石油化工有限公司（以下简称“京博石化”）是京博控股集团下子公司，是一家以石油化工为主业，集石油炼制与后续深加工为一体的大型民营企业。京博石化占地面积4000余亩，综合加工能力超1600万吨/年，前身为博兴县润滑油脂厂，1991年建厂；1998年确立以石油化工为主业，走多元化发展的道路；2000年企业由国有企业改制为民营企业，确立了以“仁孝”为核心的企业文化；2013年投资2亿元成立研发中心，技术创新实力居石油化工行业先进水平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eastAsia="zh-CN"/>
        </w:rPr>
        <w:t>。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京博石化坚持“改善今天、创新明天、研究后天、准备未来” 的研发理念，是山东唯一具备小试--中试--工程设计--产业化应用全流程创新能力和转化能力的民营炼厂。通过“1520”工程，按照“一中心两院”的模式，在全国范围内搭建13大创新中心，整合国内外高校及科研院所技术资源，搭建产学研用一体化的产业技术创新平台，拥有2个院士工作站、9个省市级技术研发中心、2个联合技术中心、13个创新中心、核心技术61项、专利授权142件、省级创新项目60余项以及效益1000万元以上项目18项，综合提升了公司创新能力，为社会发展和科技进步提供技术创新驱动；公司以设备本体智能化、运行控制智能化、运营方案智能化为主线，打造智能工厂；建立联融共赢的智慧经营生态平台和企业经营管理平台，构筑快速响应市场能力和高效运营能力，支撑企业数字化转型和创新发展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-212" w:rightChars="-101"/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  <w:t>二</w:t>
      </w:r>
      <w:r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CN"/>
          <w14:textFill>
            <w14:solidFill>
              <w14:schemeClr w14:val="accent6"/>
            </w14:solidFill>
          </w14:textFill>
        </w:rPr>
        <w:t>企业荣誉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京博位居中国企业500强第328位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2019年中国石油和化工企业500强第25位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中国民营企业500强第134位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中国民营企业制造业500强第68位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山东企业100强第27位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山东民营企业100强第11位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-212" w:rightChars="-101"/>
        <w:jc w:val="center"/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</w:pPr>
      <w:r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天生实力派，够胆你就来</w:t>
      </w:r>
      <w:r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】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-212" w:rightChars="-101"/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  <w:t>三</w:t>
      </w:r>
      <w:r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  <w:t>岗位专业大类</w:t>
      </w:r>
    </w:p>
    <w:tbl>
      <w:tblPr>
        <w:tblStyle w:val="11"/>
        <w:tblW w:w="9233" w:type="dxa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5"/>
        <w:gridCol w:w="5731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经营储备生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国际经济与贸易、英语、化工类、材料类相关专业；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期现研究员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金融学、经济学、投资学、财政学等相关专业；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财务管理、会计学、数学、统计学等相关专业；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化工技术工程师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化学工程与工艺、应用化学、石油加工、轻化工程等相关专业。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化工研发工程师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化工类、材料类相关专业；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油品研发工程师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石油化工、高分子材料、化工工程与工艺、材料化学等相关专业；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沥青研发工程师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石油化工、高分子材料、化学工程与工艺、材料化学、道路工程等相关专业；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聚烯烃研发工程师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高分子物理与化学、高分子材料与工程及相关专业；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橡胶研发工程师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高分子物理与化学、材料类、有机化学、化工类等相关专业；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战略规划/品牌管理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工商管理、经济学等相关专业；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IT工程师</w:t>
            </w:r>
          </w:p>
        </w:tc>
        <w:tc>
          <w:tcPr>
            <w:tcW w:w="5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自动化、计算机科学与技术、软件工程等相关专业。</w:t>
            </w:r>
          </w:p>
        </w:tc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化工技术储备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化工类相关专业。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材料技术储备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高分子材料与工程、材料化学、材料物理等相关专业。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化工设备储备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化工机械、机械工程、机械设计制造及其自动化、机械电子工程、自动化等相关专业。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</w:tr>
    </w:tbl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-212" w:rightChars="-101"/>
        <w:jc w:val="center"/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</w:pPr>
      <w:r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【未来可期，京博宠你】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-212" w:rightChars="-101"/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  <w:t>四</w:t>
      </w:r>
      <w:r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  <w:t>福利待遇体系</w:t>
      </w:r>
    </w:p>
    <w:p>
      <w:pPr>
        <w:pStyle w:val="1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具有竞争力的薪酬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体系</w:t>
      </w:r>
    </w:p>
    <w:p>
      <w:pPr>
        <w:pStyle w:val="1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完善的福利保障体系</w:t>
      </w:r>
    </w:p>
    <w:p>
      <w:pPr>
        <w:pStyle w:val="1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七大成长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晋升通道</w:t>
      </w:r>
    </w:p>
    <w:p>
      <w:pPr>
        <w:pStyle w:val="1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开放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奋斗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有活力的组织氛围</w:t>
      </w:r>
    </w:p>
    <w:p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color w:val="F79646" w:themeColor="accent6"/>
          <w:kern w:val="0"/>
          <w:sz w:val="24"/>
          <w:szCs w:val="22"/>
          <w:lang w:val="en-US" w:eastAsia="zh-Hans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color w:val="F79646" w:themeColor="accent6"/>
          <w:kern w:val="0"/>
          <w:sz w:val="24"/>
          <w:szCs w:val="22"/>
          <w:lang w:val="en-US" w:eastAsia="zh-Hans"/>
          <w14:textFill>
            <w14:solidFill>
              <w14:schemeClr w14:val="accent6"/>
            </w14:solidFill>
          </w14:textFill>
        </w:rPr>
        <w:t>薪酬结构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薪酬组成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eastAsia="zh-Hans"/>
        </w:rPr>
        <w:t>=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岗位工资+绩效工资+五险一金＋文化工资+改善工资+各类补贴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文化工资：孝工资+敬老金+忠孝敬老金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各类补贴：学历补贴（硕博以上）+党员廉政保证金+员工子女幼儿园学费补贴+其他补贴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综合年薪：本科8-10万，硕士12-15万，博士25万+</w:t>
      </w:r>
    </w:p>
    <w:p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color w:val="F79646" w:themeColor="accent6"/>
          <w:kern w:val="0"/>
          <w:sz w:val="24"/>
          <w:szCs w:val="22"/>
          <w:lang w:val="en-US" w:eastAsia="zh-Hans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color w:val="F79646" w:themeColor="accent6"/>
          <w:kern w:val="0"/>
          <w:sz w:val="24"/>
          <w:szCs w:val="22"/>
          <w:lang w:val="en-US" w:eastAsia="zh-Hans"/>
          <w14:textFill>
            <w14:solidFill>
              <w14:schemeClr w14:val="accent6"/>
            </w14:solidFill>
          </w14:textFill>
        </w:rPr>
        <w:t>福利待遇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集体公寓：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公司为员工免费提供学生公寓，内置空调、独卫、浴室等基础设施，并建有内招、食堂、医务室等，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良好的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后勤保障服务。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2.住宅小区：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公司自建高标准住宅小区，另外建设“京博·青年苑” 、“京博·和苑” 、“京博·福樾亭”项目，面对普通职工打造精品户型住宅。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3.员工休假：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员工享受带薪年假、国家法定节假日等公假。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4.节日福利：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公司每逢重大节日为员工发放丰厚的福利，如中秋福利、春节福利等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5.娱乐休闲：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工业园内设有图书馆、篮球场、健身房、游泳馆，丰富员工的业余生活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Hans"/>
        </w:rPr>
        <w:t>6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.体检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员工免费年度体检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rPr>
          <w:rFonts w:hint="default" w:ascii="微软雅黑" w:hAnsi="微软雅黑" w:eastAsia="微软雅黑" w:cs="微软雅黑"/>
          <w:kern w:val="0"/>
          <w:sz w:val="24"/>
          <w:szCs w:val="22"/>
          <w:lang w:eastAsia="zh-CN"/>
        </w:rPr>
        <w:t>7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.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父母安置：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员工父母可根据公司内部政策申请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京博和苑养老公寓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居住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eastAsia="zh-Hans"/>
        </w:rPr>
        <w:t>。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eastAsia="zh-CN"/>
        </w:rPr>
        <w:t>8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子女及配偶安置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①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配偶就业安置：博士配偶可根据个人意愿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安排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公司就业或协调其它就业途径。硕士配偶同等条件优先安排公司就业；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②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子女教育安置：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员工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未成年子女公司协调沟通就近安排学校</w:t>
      </w:r>
      <w:r>
        <w:rPr>
          <w:rFonts w:hint="default" w:ascii="微软雅黑" w:hAnsi="微软雅黑" w:eastAsia="微软雅黑" w:cs="微软雅黑"/>
          <w:kern w:val="0"/>
          <w:sz w:val="24"/>
          <w:szCs w:val="22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员工子女幼教补贴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-212" w:rightChars="-101"/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Hans"/>
          <w14:textFill>
            <w14:solidFill>
              <w14:schemeClr w14:val="accent6"/>
            </w14:solidFill>
          </w14:textFill>
        </w:rPr>
        <w:t>五</w:t>
      </w:r>
      <w:r>
        <w:rPr>
          <w:rFonts w:hint="default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eastAsia="zh-Hans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kern w:val="0"/>
          <w:sz w:val="28"/>
          <w:szCs w:val="24"/>
          <w:lang w:val="en-US" w:eastAsia="zh-CN"/>
          <w14:textFill>
            <w14:solidFill>
              <w14:schemeClr w14:val="accent6"/>
            </w14:solidFill>
          </w14:textFill>
        </w:rPr>
        <w:t>流程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网申启动、在线测评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校友交流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会（线上/线下）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面试（初试/复试/终面）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212" w:rightChars="-101" w:hanging="420" w:firstLineChars="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录用签约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-212" w:rightChars="-101"/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注：受疫情影响，线上/线下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Hans"/>
        </w:rPr>
        <w:t>交流</w:t>
      </w: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行程后续陆续另行通知</w:t>
      </w:r>
    </w:p>
    <w:p>
      <w:pPr>
        <w:pStyle w:val="16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rPr>
          <w:rFonts w:hint="default" w:ascii="微软雅黑" w:hAnsi="微软雅黑" w:eastAsia="微软雅黑" w:cs="微软雅黑"/>
          <w:color w:val="F79646" w:themeColor="accent6"/>
          <w:kern w:val="0"/>
          <w:sz w:val="24"/>
          <w:szCs w:val="2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default" w:ascii="微软雅黑" w:hAnsi="微软雅黑" w:eastAsia="微软雅黑" w:cs="微软雅黑"/>
          <w:color w:val="F79646" w:themeColor="accent6"/>
          <w:kern w:val="0"/>
          <w:sz w:val="24"/>
          <w:szCs w:val="22"/>
          <w:lang w:val="en-US" w:eastAsia="zh-CN"/>
          <w14:textFill>
            <w14:solidFill>
              <w14:schemeClr w14:val="accent6"/>
            </w14:solidFill>
          </w14:textFill>
        </w:rPr>
        <w:t>网申投递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PC端：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登录网申地址： jingbo.hotjob.cn  选择意向职位进行投递 → 登陆邮箱完善个人简历信息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移动端：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扫描下方二维码选择意向职位进行投递 → 登陆邮箱完善个人简历信息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  <w:t>联系部门：石化人力资源管理部  联系电话：0543-2873803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  <w:t>加入京博，让梦想，在这里启航！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rPr>
          <w:rFonts w:hint="default" w:ascii="微软雅黑" w:hAnsi="微软雅黑" w:eastAsia="微软雅黑" w:cs="微软雅黑"/>
          <w:kern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2"/>
          <w:lang w:val="en-US" w:eastAsia="zh-CN"/>
        </w:rPr>
        <w:drawing>
          <wp:inline distT="0" distB="0" distL="114300" distR="114300">
            <wp:extent cx="1145540" cy="1113155"/>
            <wp:effectExtent l="0" t="0" r="16510" b="10795"/>
            <wp:docPr id="7" name="图片 7" descr="lALPGoGu-DH9kZXNAWjNAWg_360_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LPGoGu-DH9kZXNAWjNAWg_360_3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iragino Sans GB W3">
    <w:altName w:val="宋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9EACF"/>
    <w:multiLevelType w:val="singleLevel"/>
    <w:tmpl w:val="8B09EAC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C994406"/>
    <w:multiLevelType w:val="singleLevel"/>
    <w:tmpl w:val="AC99440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4F4E13"/>
    <w:multiLevelType w:val="singleLevel"/>
    <w:tmpl w:val="5F4F4E13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F4F514F"/>
    <w:multiLevelType w:val="singleLevel"/>
    <w:tmpl w:val="5F4F514F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F4F55AE"/>
    <w:multiLevelType w:val="singleLevel"/>
    <w:tmpl w:val="5F4F55AE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F4F5654"/>
    <w:multiLevelType w:val="singleLevel"/>
    <w:tmpl w:val="5F4F5654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5F4F5665"/>
    <w:multiLevelType w:val="singleLevel"/>
    <w:tmpl w:val="5F4F5665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5F4F5734"/>
    <w:multiLevelType w:val="singleLevel"/>
    <w:tmpl w:val="5F4F5734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13C2"/>
    <w:rsid w:val="1AEB2F19"/>
    <w:rsid w:val="1BE0F25A"/>
    <w:rsid w:val="2B156619"/>
    <w:rsid w:val="39B7A1A8"/>
    <w:rsid w:val="56EFA00A"/>
    <w:rsid w:val="5EC78FAE"/>
    <w:rsid w:val="5FBE3C65"/>
    <w:rsid w:val="5FFFC45E"/>
    <w:rsid w:val="68924C44"/>
    <w:rsid w:val="6A8E2589"/>
    <w:rsid w:val="84C646A7"/>
    <w:rsid w:val="F7DE1A65"/>
    <w:rsid w:val="FDCEF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heading 1"/>
    <w:next w:val="1"/>
    <w:qFormat/>
    <w:uiPriority w:val="0"/>
    <w:rPr>
      <w:rFonts w:ascii="Times New Roman" w:hAnsi="Times New Roman" w:eastAsia="宋体" w:cs="Times New Roman"/>
      <w:color w:val="2E74B5"/>
      <w:sz w:val="32"/>
      <w:szCs w:val="32"/>
    </w:rPr>
  </w:style>
  <w:style w:type="paragraph" w:styleId="4">
    <w:name w:val="heading 2"/>
    <w:next w:val="1"/>
    <w:qFormat/>
    <w:uiPriority w:val="0"/>
    <w:rPr>
      <w:rFonts w:ascii="Times New Roman" w:hAnsi="Times New Roman" w:eastAsia="宋体" w:cs="Times New Roman"/>
      <w:color w:val="2E74B5"/>
      <w:sz w:val="26"/>
      <w:szCs w:val="26"/>
    </w:rPr>
  </w:style>
  <w:style w:type="paragraph" w:styleId="5">
    <w:name w:val="heading 3"/>
    <w:next w:val="1"/>
    <w:qFormat/>
    <w:uiPriority w:val="0"/>
    <w:rPr>
      <w:rFonts w:ascii="Times New Roman" w:hAnsi="Times New Roman" w:eastAsia="宋体" w:cs="Times New Roman"/>
      <w:color w:val="1F4D78"/>
      <w:sz w:val="24"/>
      <w:szCs w:val="24"/>
    </w:rPr>
  </w:style>
  <w:style w:type="paragraph" w:styleId="6">
    <w:name w:val="heading 4"/>
    <w:next w:val="1"/>
    <w:qFormat/>
    <w:uiPriority w:val="0"/>
    <w:rPr>
      <w:rFonts w:ascii="Times New Roman" w:hAnsi="Times New Roman" w:eastAsia="宋体" w:cs="Times New Roman"/>
      <w:i/>
      <w:color w:val="2E74B5"/>
      <w:sz w:val="21"/>
      <w:szCs w:val="22"/>
    </w:rPr>
  </w:style>
  <w:style w:type="paragraph" w:styleId="7">
    <w:name w:val="heading 5"/>
    <w:next w:val="1"/>
    <w:qFormat/>
    <w:uiPriority w:val="0"/>
    <w:rPr>
      <w:rFonts w:ascii="Times New Roman" w:hAnsi="Times New Roman" w:eastAsia="宋体" w:cs="Times New Roman"/>
      <w:color w:val="2E74B5"/>
      <w:sz w:val="21"/>
      <w:szCs w:val="22"/>
    </w:rPr>
  </w:style>
  <w:style w:type="paragraph" w:styleId="8">
    <w:name w:val="heading 6"/>
    <w:next w:val="1"/>
    <w:qFormat/>
    <w:uiPriority w:val="0"/>
    <w:rPr>
      <w:rFonts w:ascii="Times New Roman" w:hAnsi="Times New Roman" w:eastAsia="宋体" w:cs="Times New Roman"/>
      <w:color w:val="1F4D78"/>
      <w:sz w:val="21"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note text"/>
    <w:link w:val="17"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0">
    <w:name w:val="Title"/>
    <w:qFormat/>
    <w:uiPriority w:val="0"/>
    <w:rPr>
      <w:rFonts w:ascii="Times New Roman" w:hAnsi="Times New Roman" w:eastAsia="宋体" w:cs="Times New Roman"/>
      <w:sz w:val="56"/>
      <w:szCs w:val="56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paragraph" w:customStyle="1" w:styleId="16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7">
    <w:name w:val="Footnote Text Char"/>
    <w:link w:val="9"/>
    <w:unhideWhenUsed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2020-08-27T17:11:00Z</dcterms:created>
  <dc:creator>Data</dc:creator>
  <cp:lastModifiedBy>望</cp:lastModifiedBy>
  <dcterms:modified xsi:type="dcterms:W3CDTF">2020-09-04T08:01:21Z</dcterms:modified>
  <dc:title>觅蜂计划-未来合夥人宣传文案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