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both"/>
        <w:textAlignment w:val="auto"/>
        <w:rPr>
          <w:rFonts w:hint="eastAsia" w:ascii="方正楷体简体" w:hAnsi="方正楷体简体" w:eastAsia="方正楷体简体" w:cs="方正楷体简体"/>
          <w:b w:val="0"/>
          <w:bCs w:val="0"/>
          <w:sz w:val="30"/>
          <w:szCs w:val="30"/>
          <w:lang w:val="en-US" w:eastAsia="zh-CN"/>
        </w:rPr>
      </w:pPr>
      <w:bookmarkStart w:id="0" w:name="_GoBack"/>
      <w:bookmarkEnd w:id="0"/>
      <w:r>
        <w:rPr>
          <w:rFonts w:hint="eastAsia" w:ascii="方正楷体简体" w:hAnsi="方正楷体简体" w:eastAsia="方正楷体简体" w:cs="方正楷体简体"/>
          <w:b w:val="0"/>
          <w:bCs w:val="0"/>
          <w:sz w:val="30"/>
          <w:szCs w:val="30"/>
          <w:lang w:val="en-US" w:eastAsia="zh-CN"/>
        </w:rPr>
        <w:t>附件1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center"/>
        <w:textAlignment w:val="auto"/>
        <w:rPr>
          <w:rFonts w:hint="eastAsia" w:ascii="方正楷体简体" w:hAnsi="方正楷体简体" w:eastAsia="方正楷体简体" w:cs="方正楷体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楷体简体" w:hAnsi="方正楷体简体" w:eastAsia="方正楷体简体" w:cs="方正楷体简体"/>
          <w:b w:val="0"/>
          <w:bCs w:val="0"/>
          <w:sz w:val="36"/>
          <w:szCs w:val="36"/>
          <w:lang w:val="en-US" w:eastAsia="zh-CN"/>
        </w:rPr>
        <w:t>和田地区3200名中小学教师编制入编考试专业目录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540" w:lineRule="exact"/>
        <w:jc w:val="center"/>
        <w:textAlignment w:val="auto"/>
        <w:rPr>
          <w:rFonts w:hint="eastAsia" w:ascii="方正楷体简体" w:hAnsi="方正楷体简体" w:eastAsia="方正楷体简体" w:cs="方正楷体简体"/>
          <w:b w:val="0"/>
          <w:bCs w:val="0"/>
          <w:sz w:val="32"/>
          <w:szCs w:val="32"/>
          <w:lang w:eastAsia="zh-CN"/>
        </w:rPr>
      </w:pPr>
      <w:r>
        <w:rPr>
          <w:rFonts w:hint="eastAsia" w:ascii="方正楷体简体" w:hAnsi="方正楷体简体" w:eastAsia="方正楷体简体" w:cs="方正楷体简体"/>
          <w:b w:val="0"/>
          <w:bCs w:val="0"/>
          <w:sz w:val="36"/>
          <w:szCs w:val="36"/>
          <w:lang w:val="en-US" w:eastAsia="zh-CN"/>
        </w:rPr>
        <w:t>（参考自治区特岗教师招聘专业目录）</w:t>
      </w:r>
    </w:p>
    <w:tbl>
      <w:tblPr>
        <w:tblStyle w:val="4"/>
        <w:tblW w:w="10608" w:type="dxa"/>
        <w:jc w:val="center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5"/>
        <w:gridCol w:w="1235"/>
        <w:gridCol w:w="8778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  <w:jc w:val="center"/>
        </w:trPr>
        <w:tc>
          <w:tcPr>
            <w:tcW w:w="595" w:type="dxa"/>
          </w:tcPr>
          <w:p>
            <w:pPr>
              <w:pStyle w:val="6"/>
              <w:spacing w:before="158"/>
              <w:ind w:left="59" w:right="3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序号</w:t>
            </w:r>
          </w:p>
        </w:tc>
        <w:tc>
          <w:tcPr>
            <w:tcW w:w="1235" w:type="dxa"/>
          </w:tcPr>
          <w:p>
            <w:pPr>
              <w:pStyle w:val="6"/>
              <w:spacing w:before="158"/>
              <w:ind w:left="44" w:right="1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学科</w:t>
            </w:r>
          </w:p>
        </w:tc>
        <w:tc>
          <w:tcPr>
            <w:tcW w:w="8778" w:type="dxa"/>
          </w:tcPr>
          <w:p>
            <w:pPr>
              <w:pStyle w:val="6"/>
              <w:spacing w:before="146"/>
              <w:ind w:left="4001" w:right="397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4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ind w:right="13" w:firstLine="221" w:firstLineChars="100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语文类</w:t>
            </w:r>
          </w:p>
        </w:tc>
        <w:tc>
          <w:tcPr>
            <w:tcW w:w="8778" w:type="dxa"/>
          </w:tcPr>
          <w:p>
            <w:pPr>
              <w:pStyle w:val="6"/>
              <w:spacing w:before="50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汉语、汉语言文学、汉语言、汉语国际教育、汉语言文学教育、古典文献学、汉语言文字学、古典文献学、语言学及应用语言学、中国现当代文学、中国古代文学、中国古典文献学、华文教育、中国语言文化、中国语言文学、中国少数民族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语言文学、应用语言学、文艺学、比较文学与世界文学、小学教育（</w:t>
            </w:r>
            <w:r>
              <w:rPr>
                <w:rFonts w:hint="eastAsia" w:ascii="宋体" w:hAnsi="宋体" w:eastAsia="宋体" w:cs="宋体"/>
                <w:spacing w:val="-4"/>
                <w:sz w:val="22"/>
                <w:szCs w:val="22"/>
              </w:rPr>
              <w:t>文科方向、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限小学段）、学科教学（语文）、语文教育、中文教育、初等教育（文科方向</w:t>
            </w:r>
            <w:r>
              <w:rPr>
                <w:rFonts w:hint="eastAsia" w:ascii="宋体" w:hAnsi="宋体" w:eastAsia="宋体" w:cs="宋体"/>
                <w:spacing w:val="-17"/>
                <w:sz w:val="22"/>
                <w:szCs w:val="22"/>
              </w:rPr>
              <w:t>）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、对外汉语、初等教育（双语师资）、新闻学、编辑出版学、广播电视新闻学、广播电视学、戏剧影视文学、文学、中国文学、文秘、秘书学等相关专业。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0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ind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英语类</w:t>
            </w:r>
          </w:p>
        </w:tc>
        <w:tc>
          <w:tcPr>
            <w:tcW w:w="8778" w:type="dxa"/>
          </w:tcPr>
          <w:p>
            <w:pPr>
              <w:pStyle w:val="6"/>
              <w:spacing w:before="9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英语、英语语言文学、英语教育、学科教学（英语）、翻译、科技英语、商务英语、旅游英语、商贸英语、英语笔译、英语翻译与传译、英语口译、应用英语、英语翻译导游、小学教育（英语方向、限小学段）、初等教育（英语方向）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2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spacing w:before="1"/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spacing w:before="1"/>
              <w:ind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数学类</w:t>
            </w:r>
          </w:p>
        </w:tc>
        <w:tc>
          <w:tcPr>
            <w:tcW w:w="8778" w:type="dxa"/>
          </w:tcPr>
          <w:p>
            <w:pPr>
              <w:pStyle w:val="6"/>
              <w:spacing w:before="67" w:line="300" w:lineRule="exact"/>
              <w:ind w:left="37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数学与应用数学、信息与计算科学、数理基础科学、数学教育、数学、学科教学（数学）、小学教育(数学方向、限小学段)、初等教育(数学方向、理科方向)、初等教育（双语师资）、应用数学、计算数学、基础数学、概率论与数理统计、运筹学与控制论、统计学、经济统计学、应用统计学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9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ind w:firstLine="220" w:firstLineChars="100"/>
              <w:jc w:val="both"/>
              <w:rPr>
                <w:rFonts w:hint="eastAsia" w:eastAsia="仿宋_GB2312"/>
                <w:sz w:val="22"/>
                <w:lang w:val="en-US" w:eastAsia="zh-CN"/>
              </w:rPr>
            </w:pPr>
            <w:r>
              <w:rPr>
                <w:rFonts w:hint="eastAsia"/>
                <w:sz w:val="22"/>
                <w:lang w:val="en-US" w:eastAsia="zh-CN"/>
              </w:rPr>
              <w:t>4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spacing w:before="161" w:line="277" w:lineRule="exact"/>
              <w:ind w:left="61"/>
              <w:jc w:val="center"/>
              <w:rPr>
                <w:b/>
                <w:sz w:val="22"/>
              </w:rPr>
            </w:pPr>
            <w:r>
              <w:rPr>
                <w:b/>
                <w:spacing w:val="2"/>
                <w:w w:val="95"/>
                <w:sz w:val="22"/>
              </w:rPr>
              <w:t>道德与法治</w:t>
            </w:r>
          </w:p>
          <w:p>
            <w:pPr>
              <w:pStyle w:val="6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pacing w:val="5"/>
                <w:w w:val="95"/>
                <w:sz w:val="22"/>
              </w:rPr>
              <w:t>（</w:t>
            </w:r>
            <w:r>
              <w:rPr>
                <w:b/>
                <w:spacing w:val="3"/>
                <w:w w:val="95"/>
                <w:sz w:val="22"/>
              </w:rPr>
              <w:t>政治</w:t>
            </w:r>
            <w:r>
              <w:rPr>
                <w:b/>
                <w:w w:val="95"/>
                <w:sz w:val="22"/>
              </w:rPr>
              <w:t>）类</w:t>
            </w:r>
          </w:p>
        </w:tc>
        <w:tc>
          <w:tcPr>
            <w:tcW w:w="8778" w:type="dxa"/>
          </w:tcPr>
          <w:p>
            <w:pPr>
              <w:pStyle w:val="6"/>
              <w:spacing w:before="5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政治、政治学、政治理论、政治学与行政学、国际政治、外交学、哲学、政治学理论、中外政治制度、科学社会主义与国际共产主义运动、中国共产党党史（含党的学说与党的建设）、国际关系、思想政治教育、学科教学（思政）、马克思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主义基本原理、科学技术哲学、马克思主义发展史、马克思主义理论、马克思主义哲学、马克思主义中国化研究、中国哲学、科学社会主义与国际共产主义运动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、中国革命史与中国共产党党史、马克思主义发展史、国外马克思主义研究、马克思主义理论与思想政治教育、教育学、法学等相关专业。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1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jc w:val="center"/>
              <w:rPr>
                <w:rFonts w:hint="eastAsia" w:eastAsia="仿宋_GB2312"/>
                <w:sz w:val="22"/>
                <w:lang w:val="en-US" w:eastAsia="zh-CN"/>
              </w:rPr>
            </w:pPr>
            <w:r>
              <w:rPr>
                <w:rFonts w:hint="eastAsia"/>
                <w:sz w:val="22"/>
                <w:lang w:val="en-US" w:eastAsia="zh-CN"/>
              </w:rPr>
              <w:t>5</w:t>
            </w:r>
          </w:p>
        </w:tc>
        <w:tc>
          <w:tcPr>
            <w:tcW w:w="1235" w:type="dxa"/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ind w:right="13"/>
              <w:jc w:val="both"/>
              <w:rPr>
                <w:b/>
                <w:sz w:val="22"/>
              </w:rPr>
            </w:pPr>
          </w:p>
          <w:p>
            <w:pPr>
              <w:pStyle w:val="6"/>
              <w:ind w:right="13" w:firstLine="221" w:firstLineChars="100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物理类</w:t>
            </w:r>
          </w:p>
        </w:tc>
        <w:tc>
          <w:tcPr>
            <w:tcW w:w="8778" w:type="dxa"/>
          </w:tcPr>
          <w:p>
            <w:pPr>
              <w:pStyle w:val="6"/>
              <w:spacing w:before="81" w:line="300" w:lineRule="exact"/>
              <w:ind w:left="37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物理教育、物理学、核物理、应用物理学、学科教学（物理）、化学物理、声学、工程力学、理论与应用力学、工程结构分析、理论物理、粒子物理与原子核物理、光学、原子与分子物理、等离子体物理、流体力学、凝聚态物理、无线电物理、固体力学、一般力学与力学基础、工程力学、流体力学、地球物理学、材料科学与工程、材料物理、高分子材料与工程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9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ind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化学类</w:t>
            </w:r>
          </w:p>
        </w:tc>
        <w:tc>
          <w:tcPr>
            <w:tcW w:w="8778" w:type="dxa"/>
          </w:tcPr>
          <w:p>
            <w:pPr>
              <w:pStyle w:val="6"/>
              <w:spacing w:line="296" w:lineRule="exact"/>
              <w:ind w:left="37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化学、应用化学、化学教育、学科教学（化学）、分析化学、高分子化学与物理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、化学工程、有机化学、无机化学、物理化学、材料化学、化学工程与工艺、化学生物学、分子科学与工程、地球化学、材料科学与工程、高分子材料与工程、应用化学技术、制药工程、轻化工程、环境生态工程、环境工程、环境科学等相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7" w:hRule="atLeast"/>
          <w:jc w:val="center"/>
        </w:trPr>
        <w:tc>
          <w:tcPr>
            <w:tcW w:w="595" w:type="dxa"/>
            <w:vAlign w:val="center"/>
          </w:tcPr>
          <w:p>
            <w:pPr>
              <w:pStyle w:val="6"/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ind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生物类</w:t>
            </w:r>
          </w:p>
        </w:tc>
        <w:tc>
          <w:tcPr>
            <w:tcW w:w="8778" w:type="dxa"/>
          </w:tcPr>
          <w:p>
            <w:pPr>
              <w:pStyle w:val="6"/>
              <w:spacing w:before="71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生物教育、生物科学、生态学、生物教育、植物学、动物学、生理学、水生生物学、微生物学、神经生物学、遗传学、发育生物学、细胞生物学、生物化学与分子生物学、生物物理学、生态学生物科学、生物技术、生物信息学、生物信息技术、生物科学与生物技术、生物化学与分子生物学、植物生物技术、生物资源科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学、生物安全、生物工程、生物医学工程、学科教学（生物）</w:t>
            </w:r>
            <w:r>
              <w:rPr>
                <w:rFonts w:hint="eastAsia" w:ascii="宋体" w:hAnsi="宋体" w:eastAsia="宋体" w:cs="宋体"/>
                <w:spacing w:val="-3"/>
                <w:sz w:val="22"/>
                <w:szCs w:val="22"/>
              </w:rPr>
              <w:t>、生物技术及应用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、生物实验技术、生物化工工艺、微生物技术及应用、动植物检疫、农学、园艺、植物保护、植物科学与技术、种子科学与工程等相</w:t>
            </w:r>
            <w:r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  <w:t>关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专业。</w:t>
            </w:r>
          </w:p>
          <w:p>
            <w:pPr>
              <w:pStyle w:val="6"/>
              <w:spacing w:line="299" w:lineRule="exact"/>
              <w:ind w:left="37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3" w:hRule="atLeast"/>
          <w:jc w:val="center"/>
        </w:trPr>
        <w:tc>
          <w:tcPr>
            <w:tcW w:w="595" w:type="dxa"/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spacing w:before="9"/>
              <w:rPr>
                <w:rFonts w:ascii="宋体"/>
                <w:sz w:val="24"/>
              </w:rPr>
            </w:pPr>
          </w:p>
          <w:p>
            <w:pPr>
              <w:pStyle w:val="6"/>
              <w:ind w:left="246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235" w:type="dxa"/>
          </w:tcPr>
          <w:p>
            <w:pPr>
              <w:pStyle w:val="6"/>
              <w:jc w:val="center"/>
              <w:rPr>
                <w:rFonts w:ascii="宋体"/>
                <w:sz w:val="22"/>
              </w:rPr>
            </w:pPr>
          </w:p>
          <w:p>
            <w:pPr>
              <w:pStyle w:val="6"/>
              <w:spacing w:before="9"/>
              <w:jc w:val="center"/>
              <w:rPr>
                <w:rFonts w:ascii="宋体"/>
                <w:sz w:val="24"/>
              </w:rPr>
            </w:pPr>
          </w:p>
          <w:p>
            <w:pPr>
              <w:pStyle w:val="6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地理类</w:t>
            </w:r>
          </w:p>
        </w:tc>
        <w:tc>
          <w:tcPr>
            <w:tcW w:w="8778" w:type="dxa"/>
            <w:vAlign w:val="center"/>
          </w:tcPr>
          <w:p>
            <w:pPr>
              <w:pStyle w:val="6"/>
              <w:spacing w:before="161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地理科学、地理信息科学、自然地理与资源环境、人文地理与城乡规划、地图学与地理信息系统、自然地理学、人文地理学、学科教学（地理）、资源环境与城乡规划管理 、地理信息科学与技术、生态学、资源环境科学、历史地理学、土地资源管理等相关专业。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6" w:hRule="atLeast"/>
          <w:jc w:val="center"/>
        </w:trPr>
        <w:tc>
          <w:tcPr>
            <w:tcW w:w="595" w:type="dxa"/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rPr>
                <w:rFonts w:ascii="宋体"/>
                <w:sz w:val="23"/>
              </w:rPr>
            </w:pPr>
          </w:p>
          <w:p>
            <w:pPr>
              <w:pStyle w:val="6"/>
              <w:ind w:left="246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235" w:type="dxa"/>
          </w:tcPr>
          <w:p>
            <w:pPr>
              <w:pStyle w:val="6"/>
              <w:jc w:val="center"/>
              <w:rPr>
                <w:rFonts w:ascii="宋体"/>
                <w:sz w:val="22"/>
              </w:rPr>
            </w:pPr>
          </w:p>
          <w:p>
            <w:pPr>
              <w:pStyle w:val="6"/>
              <w:jc w:val="center"/>
              <w:rPr>
                <w:rFonts w:ascii="宋体"/>
                <w:sz w:val="23"/>
              </w:rPr>
            </w:pPr>
          </w:p>
          <w:p>
            <w:pPr>
              <w:pStyle w:val="6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历史类</w:t>
            </w:r>
          </w:p>
        </w:tc>
        <w:tc>
          <w:tcPr>
            <w:tcW w:w="8778" w:type="dxa"/>
            <w:vAlign w:val="center"/>
          </w:tcPr>
          <w:p>
            <w:pPr>
              <w:pStyle w:val="6"/>
              <w:spacing w:before="127" w:line="299" w:lineRule="exact"/>
              <w:ind w:left="37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历史学、世界史、考古学、博物馆学、考古学与博物馆学、中国历史、世界历史、历史文献学、史学理论与史学史、学科教学（历史）、中国古代史、中国近现代史、专门史、历史地理学、民族学、文物保护技术、文物与博物馆学、文物鉴定（赏）与修复、文化人类学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27" w:hRule="atLeast"/>
          <w:jc w:val="center"/>
        </w:trPr>
        <w:tc>
          <w:tcPr>
            <w:tcW w:w="595" w:type="dxa"/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spacing w:before="162"/>
              <w:ind w:left="191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235" w:type="dxa"/>
          </w:tcPr>
          <w:p>
            <w:pPr>
              <w:pStyle w:val="6"/>
              <w:jc w:val="center"/>
              <w:rPr>
                <w:rFonts w:ascii="宋体"/>
                <w:sz w:val="22"/>
              </w:rPr>
            </w:pPr>
          </w:p>
          <w:p>
            <w:pPr>
              <w:pStyle w:val="6"/>
              <w:jc w:val="center"/>
              <w:rPr>
                <w:rFonts w:ascii="宋体"/>
                <w:sz w:val="22"/>
              </w:rPr>
            </w:pPr>
          </w:p>
          <w:p>
            <w:pPr>
              <w:pStyle w:val="6"/>
              <w:spacing w:before="162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美术类</w:t>
            </w:r>
          </w:p>
        </w:tc>
        <w:tc>
          <w:tcPr>
            <w:tcW w:w="8778" w:type="dxa"/>
            <w:vAlign w:val="center"/>
          </w:tcPr>
          <w:p>
            <w:pPr>
              <w:pStyle w:val="6"/>
              <w:spacing w:before="144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美术学、美术教育、美术、绘画(油画、国画、雕塑、版画)、中国画、书法学、书法教育、艺术教育、艺术设计（学）、装潢艺术设计、环境艺术设计、学科教学（美术）、教育学（美术方向）、初等教育（美术方向）、美术设计、艺术设计、艺术学、综合绘画、装潢设计、装饰艺术设计、动漫、动漫设计与制作、动画、动画设计、电脑艺术设计、人物形象设计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86" w:hRule="atLeast"/>
          <w:jc w:val="center"/>
        </w:trPr>
        <w:tc>
          <w:tcPr>
            <w:tcW w:w="595" w:type="dxa"/>
            <w:tcBorders>
              <w:bottom w:val="single" w:color="auto" w:sz="4" w:space="0"/>
            </w:tcBorders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spacing w:before="174"/>
              <w:ind w:left="191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235" w:type="dxa"/>
            <w:tcBorders>
              <w:bottom w:val="single" w:color="auto" w:sz="4" w:space="0"/>
            </w:tcBorders>
          </w:tcPr>
          <w:p>
            <w:pPr>
              <w:pStyle w:val="6"/>
              <w:jc w:val="center"/>
              <w:rPr>
                <w:rFonts w:ascii="宋体"/>
                <w:sz w:val="22"/>
              </w:rPr>
            </w:pPr>
          </w:p>
          <w:p>
            <w:pPr>
              <w:pStyle w:val="6"/>
              <w:jc w:val="center"/>
              <w:rPr>
                <w:rFonts w:ascii="宋体"/>
                <w:sz w:val="22"/>
              </w:rPr>
            </w:pPr>
          </w:p>
          <w:p>
            <w:pPr>
              <w:pStyle w:val="6"/>
              <w:spacing w:before="174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音乐类</w:t>
            </w:r>
          </w:p>
        </w:tc>
        <w:tc>
          <w:tcPr>
            <w:tcW w:w="8778" w:type="dxa"/>
            <w:tcBorders>
              <w:bottom w:val="single" w:color="auto" w:sz="4" w:space="0"/>
            </w:tcBorders>
            <w:vAlign w:val="center"/>
          </w:tcPr>
          <w:p>
            <w:pPr>
              <w:pStyle w:val="6"/>
              <w:spacing w:before="154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音乐学、音乐教育、音乐学(音乐教育)、舞蹈学、舞蹈教育、舞蹈表演、音乐表演、学科教学（音乐）、初等教育（音乐方向）、艺术教育(音乐方向)、演唱、表演、表演艺术、舞蹈编导、作曲与作曲技术理论、钢琴调律、管弦乐器演奏、键盘乐器演奏、乐器修造艺术、流行音乐电声乐器、音乐舞蹈教育、音乐与舞蹈、音乐剧、指挥、中国乐器演奏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3" w:hRule="atLeast"/>
          <w:jc w:val="center"/>
        </w:trPr>
        <w:tc>
          <w:tcPr>
            <w:tcW w:w="5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rPr>
                <w:rFonts w:ascii="宋体"/>
                <w:sz w:val="26"/>
              </w:rPr>
            </w:pPr>
          </w:p>
          <w:p>
            <w:pPr>
              <w:pStyle w:val="6"/>
              <w:ind w:left="191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235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pStyle w:val="6"/>
              <w:jc w:val="center"/>
              <w:rPr>
                <w:rFonts w:ascii="宋体"/>
                <w:sz w:val="26"/>
              </w:rPr>
            </w:pPr>
          </w:p>
          <w:p>
            <w:pPr>
              <w:pStyle w:val="6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体育类</w:t>
            </w:r>
          </w:p>
        </w:tc>
        <w:tc>
          <w:tcPr>
            <w:tcW w:w="87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before="178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体育教育、学科教学（体育）、初等教育（体育方向）、运动训练、竞技体育、社会体育指导与管理、武术、武术与民族传统体育、社会体育、体育健康、体育教学、体育教育训练学、体育人文社会学、运动人体科学、体育保健、民族传统体育学、体育服务与管理、运动康复与健康、休闲体育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4" w:hRule="atLeast"/>
          <w:jc w:val="center"/>
        </w:trPr>
        <w:tc>
          <w:tcPr>
            <w:tcW w:w="595" w:type="dxa"/>
            <w:tcBorders>
              <w:top w:val="single" w:color="auto" w:sz="4" w:space="0"/>
            </w:tcBorders>
          </w:tcPr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rPr>
                <w:rFonts w:ascii="宋体"/>
                <w:sz w:val="22"/>
              </w:rPr>
            </w:pPr>
          </w:p>
          <w:p>
            <w:pPr>
              <w:pStyle w:val="6"/>
              <w:spacing w:before="3"/>
              <w:rPr>
                <w:rFonts w:ascii="宋体"/>
                <w:sz w:val="25"/>
              </w:rPr>
            </w:pPr>
          </w:p>
          <w:p>
            <w:pPr>
              <w:pStyle w:val="6"/>
              <w:spacing w:before="1"/>
              <w:ind w:left="191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235" w:type="dxa"/>
            <w:tcBorders>
              <w:top w:val="single" w:color="auto" w:sz="4" w:space="0"/>
            </w:tcBorders>
            <w:vAlign w:val="center"/>
          </w:tcPr>
          <w:p>
            <w:pPr>
              <w:pStyle w:val="6"/>
              <w:spacing w:before="1"/>
              <w:ind w:right="16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计算机类</w:t>
            </w:r>
          </w:p>
        </w:tc>
        <w:tc>
          <w:tcPr>
            <w:tcW w:w="8778" w:type="dxa"/>
            <w:tcBorders>
              <w:top w:val="single" w:color="auto" w:sz="4" w:space="0"/>
            </w:tcBorders>
            <w:vAlign w:val="center"/>
          </w:tcPr>
          <w:p>
            <w:pPr>
              <w:pStyle w:val="6"/>
              <w:spacing w:before="2" w:line="228" w:lineRule="auto"/>
              <w:ind w:left="37" w:right="5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计算机教育、计算机科学与技术、计算机应用技术、初等教育（</w:t>
            </w:r>
            <w:r>
              <w:rPr>
                <w:rFonts w:hint="eastAsia" w:ascii="宋体" w:hAnsi="宋体" w:eastAsia="宋体" w:cs="宋体"/>
                <w:spacing w:val="-3"/>
                <w:sz w:val="22"/>
                <w:szCs w:val="22"/>
              </w:rPr>
              <w:t>现代信息技术方</w:t>
            </w:r>
            <w:r>
              <w:rPr>
                <w:rFonts w:hint="eastAsia" w:ascii="宋体" w:hAnsi="宋体" w:eastAsia="宋体" w:cs="宋体"/>
                <w:sz w:val="22"/>
                <w:szCs w:val="22"/>
              </w:rPr>
              <w:t>向）</w:t>
            </w:r>
            <w:r>
              <w:rPr>
                <w:rFonts w:hint="eastAsia" w:ascii="宋体" w:hAnsi="宋体" w:eastAsia="宋体" w:cs="宋体"/>
                <w:spacing w:val="-1"/>
                <w:sz w:val="22"/>
                <w:szCs w:val="22"/>
              </w:rPr>
              <w:t>、教育技术学、现代教育技术、网络工程、软件工程、信息安全、通信工程、电子信息工程、信息工程、电子信息科学与技术、电子科学与技术、计算机应用技术、计算机网络技术、计算机多媒体技术、计算机系统维护、计算机硬件与外设、计算机信息管理、网络系统管理、软件技术、图形图像制作、计算机网络与安全管理、网站规划与开发技术、游戏软件、数据通信与网络系统、航空计算机技术与应用、软件开发与项目管理、三维动画设计、计算机音乐制作、软件测试技术、嵌入式技术与应用、物联网工程、自动化、数字媒体技术、计算机软件</w:t>
            </w:r>
          </w:p>
          <w:p>
            <w:pPr>
              <w:pStyle w:val="6"/>
              <w:spacing w:line="252" w:lineRule="exact"/>
              <w:ind w:left="37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与理论、计算机系统结构等相关专业。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7" w:hRule="atLeast"/>
          <w:jc w:val="center"/>
        </w:trPr>
        <w:tc>
          <w:tcPr>
            <w:tcW w:w="595" w:type="dxa"/>
          </w:tcPr>
          <w:p>
            <w:pPr>
              <w:pStyle w:val="6"/>
              <w:spacing w:before="7"/>
              <w:rPr>
                <w:rFonts w:ascii="宋体"/>
                <w:sz w:val="24"/>
              </w:rPr>
            </w:pPr>
          </w:p>
          <w:p>
            <w:pPr>
              <w:pStyle w:val="6"/>
              <w:ind w:left="191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ind w:right="1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心理健康类</w:t>
            </w:r>
          </w:p>
        </w:tc>
        <w:tc>
          <w:tcPr>
            <w:tcW w:w="8778" w:type="dxa"/>
            <w:vAlign w:val="center"/>
          </w:tcPr>
          <w:p>
            <w:pPr>
              <w:pStyle w:val="6"/>
              <w:spacing w:line="230" w:lineRule="auto"/>
              <w:ind w:right="175"/>
              <w:jc w:val="both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教育学、心理健康教育、心理学、应用心理学、心理咨询、心理咨询与心理健康教育、心理咨询学、基础心理学、教育心理学、心理咨询与教育、发展与教育心理学等相关专业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  <w:jc w:val="center"/>
        </w:trPr>
        <w:tc>
          <w:tcPr>
            <w:tcW w:w="595" w:type="dxa"/>
          </w:tcPr>
          <w:p>
            <w:pPr>
              <w:pStyle w:val="6"/>
              <w:spacing w:before="113"/>
              <w:ind w:left="191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spacing w:before="113"/>
              <w:ind w:left="45" w:right="13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科学类</w:t>
            </w:r>
          </w:p>
        </w:tc>
        <w:tc>
          <w:tcPr>
            <w:tcW w:w="8778" w:type="dxa"/>
            <w:vMerge w:val="restart"/>
            <w:vAlign w:val="center"/>
          </w:tcPr>
          <w:p>
            <w:pPr>
              <w:pStyle w:val="6"/>
              <w:spacing w:before="166" w:line="230" w:lineRule="auto"/>
              <w:ind w:right="175"/>
              <w:jc w:val="left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科学教育、海洋科学、大气科学、天文学等相关专业，物理类、化学类、生物类、地理类对应专业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atLeast"/>
          <w:jc w:val="center"/>
        </w:trPr>
        <w:tc>
          <w:tcPr>
            <w:tcW w:w="595" w:type="dxa"/>
          </w:tcPr>
          <w:p>
            <w:pPr>
              <w:pStyle w:val="6"/>
              <w:spacing w:before="8"/>
              <w:rPr>
                <w:rFonts w:ascii="宋体"/>
                <w:sz w:val="20"/>
              </w:rPr>
            </w:pPr>
          </w:p>
          <w:p>
            <w:pPr>
              <w:pStyle w:val="6"/>
              <w:spacing w:before="1"/>
              <w:ind w:left="191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spacing w:before="139" w:line="230" w:lineRule="auto"/>
              <w:ind w:left="397" w:right="32" w:hanging="336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综合实践活动类</w:t>
            </w:r>
          </w:p>
        </w:tc>
        <w:tc>
          <w:tcPr>
            <w:tcW w:w="8778" w:type="dxa"/>
            <w:vMerge w:val="continue"/>
            <w:tcBorders>
              <w:top w:val="nil"/>
            </w:tcBorders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595" w:type="dxa"/>
          </w:tcPr>
          <w:p>
            <w:pPr>
              <w:pStyle w:val="6"/>
              <w:spacing w:before="133"/>
              <w:ind w:left="191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spacing w:before="133"/>
              <w:ind w:left="45" w:right="18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通用技术类</w:t>
            </w:r>
          </w:p>
        </w:tc>
        <w:tc>
          <w:tcPr>
            <w:tcW w:w="8778" w:type="dxa"/>
            <w:vAlign w:val="center"/>
          </w:tcPr>
          <w:p>
            <w:pPr>
              <w:pStyle w:val="6"/>
              <w:spacing w:before="143"/>
              <w:jc w:val="left"/>
              <w:rPr>
                <w:rFonts w:hint="eastAsia" w:ascii="宋体" w:hAnsi="宋体" w:eastAsia="宋体" w:cs="宋体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物理类对应专业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  <w:jc w:val="center"/>
        </w:trPr>
        <w:tc>
          <w:tcPr>
            <w:tcW w:w="595" w:type="dxa"/>
          </w:tcPr>
          <w:p>
            <w:pPr>
              <w:pStyle w:val="6"/>
              <w:spacing w:before="5"/>
              <w:rPr>
                <w:rFonts w:ascii="宋体"/>
                <w:sz w:val="18"/>
              </w:rPr>
            </w:pPr>
          </w:p>
          <w:p>
            <w:pPr>
              <w:pStyle w:val="6"/>
              <w:ind w:left="191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235" w:type="dxa"/>
            <w:vAlign w:val="center"/>
          </w:tcPr>
          <w:p>
            <w:pPr>
              <w:pStyle w:val="6"/>
              <w:ind w:right="16" w:firstLine="221" w:firstLineChars="100"/>
              <w:jc w:val="both"/>
              <w:rPr>
                <w:b/>
                <w:sz w:val="22"/>
              </w:rPr>
            </w:pPr>
            <w:r>
              <w:rPr>
                <w:b/>
                <w:sz w:val="22"/>
              </w:rPr>
              <w:t>小学数学</w:t>
            </w:r>
          </w:p>
        </w:tc>
        <w:tc>
          <w:tcPr>
            <w:tcW w:w="8778" w:type="dxa"/>
            <w:vAlign w:val="center"/>
          </w:tcPr>
          <w:p>
            <w:pPr>
              <w:pStyle w:val="6"/>
              <w:jc w:val="left"/>
              <w:rPr>
                <w:sz w:val="24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</w:rPr>
              <w:t>数学类、物理类、化学类、计算机类对应专业。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bidi w:val="0"/>
        <w:adjustRightInd/>
        <w:snapToGrid w:val="0"/>
        <w:spacing w:before="0" w:beforeAutospacing="0" w:after="0" w:afterAutospacing="0" w:line="540" w:lineRule="exact"/>
        <w:ind w:right="0"/>
        <w:jc w:val="both"/>
        <w:textAlignment w:val="auto"/>
        <w:rPr>
          <w:rFonts w:hint="eastAsia" w:ascii="方正楷体简体" w:hAnsi="方正楷体简体" w:eastAsia="方正楷体简体" w:cs="方正楷体简体"/>
          <w:sz w:val="32"/>
          <w:szCs w:val="32"/>
          <w:lang w:val="en-US" w:eastAsia="zh-CN"/>
        </w:rPr>
        <w:sectPr>
          <w:pgSz w:w="11850" w:h="16783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001010101"/>
    <w:charset w:val="86"/>
    <w:family w:val="modern"/>
    <w:pitch w:val="default"/>
    <w:sig w:usb0="00000000" w:usb1="0000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00392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character" w:default="1" w:styleId="5">
    <w:name w:val="Default Paragraph Font"/>
    <w:qFormat/>
    <w:uiPriority w:val="0"/>
  </w:style>
  <w:style w:type="table" w:default="1" w:styleId="4">
    <w:name w:val="Normal Table"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  <w:style w:type="paragraph" w:customStyle="1" w:styleId="6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2554</Words>
  <Characters>2566</Characters>
  <Paragraphs>112</Paragraphs>
  <TotalTime>70</TotalTime>
  <ScaleCrop>false</ScaleCrop>
  <LinksUpToDate>false</LinksUpToDate>
  <CharactersWithSpaces>2567</CharactersWithSpaces>
  <Application>WPS Office_11.1.0.8573_F1E327BC-269C-435d-A152-05C5408002CA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2019-03-12T04:04:00Z</dcterms:created>
  <dc:creator>〆半夢半醒半浮生ゾ</dc:creator>
  <cp:lastModifiedBy>(*¯︶¯*)</cp:lastModifiedBy>
  <dcterms:modified xsi:type="dcterms:W3CDTF">2019-04-30T11:34:21Z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2052-11.1.0.8573</vt:lpwstr>
  </property>
</Properties>
</file>